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7B" w:rsidRPr="00D038C6" w:rsidRDefault="00F5507B" w:rsidP="00D038C6">
      <w:pPr>
        <w:rPr>
          <w:rFonts w:ascii="Arial" w:hAnsi="Arial" w:cs="Arial"/>
          <w:sz w:val="22"/>
          <w:szCs w:val="22"/>
        </w:rPr>
      </w:pPr>
    </w:p>
    <w:p w:rsidR="00F5507B" w:rsidRPr="00F5507B" w:rsidRDefault="004D65D5" w:rsidP="00F5507B">
      <w:pPr>
        <w:jc w:val="center"/>
        <w:rPr>
          <w:b/>
          <w:u w:val="single"/>
        </w:rPr>
      </w:pPr>
      <w:r w:rsidRPr="004D65D5">
        <w:rPr>
          <w:rFonts w:ascii="Arial" w:hAnsi="Arial" w:cs="Arial"/>
          <w:sz w:val="22"/>
          <w:szCs w:val="22"/>
        </w:rPr>
        <w:t xml:space="preserve"> </w:t>
      </w:r>
      <w:r w:rsidR="00F5507B" w:rsidRPr="00E71CC1">
        <w:rPr>
          <w:b/>
          <w:u w:val="single"/>
        </w:rPr>
        <w:t>ΔΕΛΤΙΟ ΤΎΠΟΥ</w:t>
      </w:r>
    </w:p>
    <w:p w:rsidR="00F5507B" w:rsidRDefault="00F5507B" w:rsidP="00F5507B">
      <w:pPr>
        <w:ind w:left="6480" w:firstLine="720"/>
        <w:jc w:val="center"/>
        <w:rPr>
          <w:b/>
          <w:u w:val="single"/>
        </w:rPr>
      </w:pPr>
    </w:p>
    <w:p w:rsidR="00F5507B" w:rsidRPr="00F5507B" w:rsidRDefault="0003310E" w:rsidP="00F5507B">
      <w:pPr>
        <w:ind w:left="6480" w:firstLine="720"/>
        <w:jc w:val="center"/>
      </w:pPr>
      <w:r>
        <w:t>Αθήνα, 4</w:t>
      </w:r>
      <w:r w:rsidR="007C07C5">
        <w:t xml:space="preserve"> Δεκ</w:t>
      </w:r>
      <w:r w:rsidR="00514491">
        <w:t>εμ</w:t>
      </w:r>
      <w:r w:rsidR="00F5507B" w:rsidRPr="00F5507B">
        <w:t>βρίου 2013</w:t>
      </w:r>
    </w:p>
    <w:p w:rsidR="00F5507B" w:rsidRDefault="00F5507B" w:rsidP="00F5507B">
      <w:pPr>
        <w:jc w:val="center"/>
        <w:rPr>
          <w:b/>
          <w:u w:val="single"/>
        </w:rPr>
      </w:pPr>
    </w:p>
    <w:p w:rsidR="00F5507B" w:rsidRPr="00F5507B" w:rsidRDefault="00F5507B" w:rsidP="00F5507B">
      <w:pPr>
        <w:jc w:val="center"/>
        <w:rPr>
          <w:b/>
          <w:u w:val="single"/>
        </w:rPr>
      </w:pPr>
    </w:p>
    <w:p w:rsidR="00F5507B" w:rsidRPr="00112B7A" w:rsidRDefault="007C07C5" w:rsidP="007C07C5">
      <w:pPr>
        <w:jc w:val="center"/>
        <w:rPr>
          <w:b/>
          <w:u w:val="single"/>
        </w:rPr>
      </w:pPr>
      <w:r>
        <w:rPr>
          <w:b/>
          <w:u w:val="single"/>
        </w:rPr>
        <w:t xml:space="preserve">Εβδομάδα </w:t>
      </w:r>
      <w:r w:rsidRPr="00F5507B">
        <w:rPr>
          <w:b/>
          <w:u w:val="single"/>
        </w:rPr>
        <w:t>πρόληψης και ενημέρωσης για τις εξαρτήσεις</w:t>
      </w:r>
      <w:r>
        <w:rPr>
          <w:b/>
          <w:u w:val="single"/>
        </w:rPr>
        <w:t xml:space="preserve"> στο Πάντειο Πανεπιστήμιο</w:t>
      </w:r>
    </w:p>
    <w:p w:rsidR="00F5507B" w:rsidRPr="00112B7A" w:rsidRDefault="00F5507B" w:rsidP="00F5507B">
      <w:pPr>
        <w:jc w:val="both"/>
        <w:rPr>
          <w:b/>
        </w:rPr>
      </w:pPr>
    </w:p>
    <w:p w:rsidR="00F5507B" w:rsidRPr="00F5507B" w:rsidRDefault="00F5507B" w:rsidP="00F5507B">
      <w:pPr>
        <w:jc w:val="both"/>
      </w:pPr>
      <w:r>
        <w:t>Ο</w:t>
      </w:r>
      <w:r w:rsidRPr="002811F2">
        <w:t xml:space="preserve"> Οργανισμός Κατά των Ναρκωτικών (ΟΚΑΝΑ)</w:t>
      </w:r>
      <w:r>
        <w:t xml:space="preserve"> διοργανώνει ε</w:t>
      </w:r>
      <w:r w:rsidRPr="002811F2">
        <w:t>βδομάδα πρόληψης κα</w:t>
      </w:r>
      <w:r w:rsidR="007C07C5">
        <w:t>ι ενημέρωσης για τις εξαρτήσεις</w:t>
      </w:r>
      <w:r>
        <w:t>,</w:t>
      </w:r>
      <w:r w:rsidRPr="002811F2">
        <w:t xml:space="preserve"> στο</w:t>
      </w:r>
      <w:r w:rsidR="007C07C5">
        <w:t xml:space="preserve"> Πάντειο Πανεπιστήμιο</w:t>
      </w:r>
      <w:r>
        <w:t xml:space="preserve"> που βρίσκεται επί</w:t>
      </w:r>
      <w:r w:rsidR="00B40DCC">
        <w:t xml:space="preserve"> της Λεωφόρου Συγγρού 136, από 9 έως 1</w:t>
      </w:r>
      <w:r w:rsidR="00DC44B3">
        <w:t>2</w:t>
      </w:r>
      <w:r w:rsidR="00B40DCC">
        <w:t xml:space="preserve"> Δεκ</w:t>
      </w:r>
      <w:r>
        <w:t>εμβρίου.</w:t>
      </w:r>
    </w:p>
    <w:p w:rsidR="00F5507B" w:rsidRPr="00F5507B" w:rsidRDefault="00F5507B" w:rsidP="00F5507B">
      <w:pPr>
        <w:jc w:val="both"/>
      </w:pPr>
    </w:p>
    <w:p w:rsidR="00F5507B" w:rsidRPr="00F5507B" w:rsidRDefault="0003310E" w:rsidP="00F5507B">
      <w:pPr>
        <w:jc w:val="both"/>
      </w:pPr>
      <w:r>
        <w:t>Κατά</w:t>
      </w:r>
      <w:r w:rsidR="00F5507B">
        <w:t xml:space="preserve"> τη διάρκεια των εκδηλώσεων θα υπά</w:t>
      </w:r>
      <w:r>
        <w:t>ρχει στο χώρο</w:t>
      </w:r>
      <w:r w:rsidR="00DC44B3">
        <w:t xml:space="preserve"> του Πανεπιστημίου, κιόσκι ενημέρωσης</w:t>
      </w:r>
      <w:r w:rsidR="00F5507B">
        <w:t xml:space="preserve"> όπου θα διατίθεται πληροφοριακό υλικό για τις εξαρτησιογόνες ουσίες , τα σεξουαλικώς μεταδιδόμενα νοσήματα καθώς και για τις σχετικές υπηρεσίες που παρέχει ο Οργανισμός. </w:t>
      </w:r>
    </w:p>
    <w:p w:rsidR="00F5507B" w:rsidRPr="00F5507B" w:rsidRDefault="00F5507B" w:rsidP="00F5507B">
      <w:pPr>
        <w:jc w:val="both"/>
      </w:pPr>
    </w:p>
    <w:p w:rsidR="00F5507B" w:rsidRDefault="00B40DCC" w:rsidP="00F5507B">
      <w:pPr>
        <w:jc w:val="both"/>
      </w:pPr>
      <w:r>
        <w:t>Την Τετάρτη 1</w:t>
      </w:r>
      <w:r w:rsidR="00DC44B3">
        <w:t>1 Ν</w:t>
      </w:r>
      <w:r>
        <w:t>οεμβρίου και ώρα 11:00, στο αμφιθέατρο</w:t>
      </w:r>
      <w:r w:rsidR="00F5507B">
        <w:t xml:space="preserve"> </w:t>
      </w:r>
      <w:r>
        <w:t xml:space="preserve">Σάκη Καράγιωργα ΙΙ </w:t>
      </w:r>
      <w:r w:rsidR="00F5507B">
        <w:t>θα προβληθεί ντοκιμαντέρ για τις εξαρτήσεις και  θα ακολουθήσουν εισηγήσεις στελεχών του Οργανισμού,</w:t>
      </w:r>
      <w:r w:rsidR="00F5507B" w:rsidRPr="00561EB5">
        <w:t xml:space="preserve"> </w:t>
      </w:r>
      <w:r w:rsidR="0071580A">
        <w:t>σχετικά με το ρόλο</w:t>
      </w:r>
      <w:r w:rsidR="00F5507B">
        <w:t xml:space="preserve"> του οικογενειακού</w:t>
      </w:r>
      <w:r w:rsidR="002871C1">
        <w:t xml:space="preserve"> περιβάλλοντος στη χρήση ουσιών</w:t>
      </w:r>
      <w:r w:rsidR="00F5507B">
        <w:t xml:space="preserve"> και τις</w:t>
      </w:r>
      <w:r w:rsidR="00F5507B" w:rsidRPr="00561EB5">
        <w:t xml:space="preserve"> κοινωνικές διαστάσεις της </w:t>
      </w:r>
      <w:r w:rsidR="00F5507B">
        <w:t>εξάρτησης ενώ θα παρουσιασθούν θέματα που αφορούν στις νέες ουσίες και τις μολυσματικές ασθένειες.</w:t>
      </w:r>
      <w:r w:rsidR="00ED76FC">
        <w:t xml:space="preserve"> Χαιρετισμό στην εκδή</w:t>
      </w:r>
      <w:r w:rsidR="00A3643D">
        <w:t>λωση θα απευθύνει η τέως</w:t>
      </w:r>
      <w:r w:rsidR="00ED76FC">
        <w:t xml:space="preserve"> </w:t>
      </w:r>
      <w:r w:rsidR="0003310E">
        <w:t xml:space="preserve">αναπληρώτρια </w:t>
      </w:r>
      <w:r w:rsidR="00ED76FC">
        <w:t>Πρόεδρος του ΟΚΑΝΑ Βάσω Αρτινοπούλου, Καθηγήτρια Εγκληματολογίας και πρώην Αντιπρύτανης του Παντείου Πανεπιστημίου.</w:t>
      </w:r>
    </w:p>
    <w:p w:rsidR="00F5507B" w:rsidRDefault="00F5507B" w:rsidP="00F5507B">
      <w:pPr>
        <w:jc w:val="both"/>
      </w:pPr>
    </w:p>
    <w:p w:rsidR="00617607" w:rsidRPr="00112B7A" w:rsidRDefault="00617607" w:rsidP="00617607">
      <w:pPr>
        <w:jc w:val="both"/>
      </w:pPr>
      <w:r>
        <w:t xml:space="preserve">Στον ίδιο χώρο και την ίδια ώρα, </w:t>
      </w:r>
      <w:r w:rsidR="00ED76FC">
        <w:t>θα πραγματοποιηθεί την Πέμπτη 12 Δεκ</w:t>
      </w:r>
      <w:r>
        <w:t>εμβρίου ανοιχτή συζήτηση,</w:t>
      </w:r>
      <w:r w:rsidR="00336171" w:rsidRPr="00336171">
        <w:t xml:space="preserve"> </w:t>
      </w:r>
      <w:r w:rsidR="00336171">
        <w:t xml:space="preserve">με θέμα: «Πρόληψη και Θεραπεία για τις Εξαρτήσεις: Η Ελληνική Πραγματικότητα», όπου θα γίνει παρουσίαση των </w:t>
      </w:r>
      <w:r w:rsidR="001D6DA5">
        <w:t xml:space="preserve">νέων </w:t>
      </w:r>
      <w:r w:rsidR="00336171">
        <w:t>θεραπευτικών προγραμμάτων αντιμετώπισης της εξάρτησης</w:t>
      </w:r>
      <w:r w:rsidR="00C82107">
        <w:t>. Στελέχη της Μονάδας Εφήβων/Νεαρών Ενήλικων Αθήνας «Ατραπός»</w:t>
      </w:r>
      <w:r w:rsidR="00336171">
        <w:t xml:space="preserve"> </w:t>
      </w:r>
      <w:r w:rsidR="001D6DA5">
        <w:t>θα ενημερώσουν το κοινό για τις ανοιχτές θεραπευτικές δομές που υπάρχουν για εφήβους και νεαρούς ενήλικους χρήστες ουσιώ</w:t>
      </w:r>
      <w:r w:rsidR="0003310E">
        <w:t>ν, ενώ ο επιστημονικά υπεύθυνος</w:t>
      </w:r>
      <w:r w:rsidR="001D6DA5">
        <w:t xml:space="preserve"> </w:t>
      </w:r>
      <w:r w:rsidR="0003310E">
        <w:t xml:space="preserve">του Κέντρου Πρόληψης των Εξαρτήσεων και Προαγωγής της Ψυχοκοινωνικής Υγείας «Ήλιος» των Δήμων Νέας Σμύρνης και Αγ. Δημητρίου, </w:t>
      </w:r>
      <w:r w:rsidR="001D6DA5">
        <w:t>κ. Ευάγγελος Κωνσταντίνου, θα αναλύσει τ</w:t>
      </w:r>
      <w:r w:rsidR="007215E1">
        <w:t>η φιλοσοφί</w:t>
      </w:r>
      <w:r w:rsidR="00122B9E">
        <w:t>α και τους στόχους της πρωτογενού</w:t>
      </w:r>
      <w:r w:rsidR="007215E1">
        <w:t>ς πρόληψης των εξαρτήσεων και</w:t>
      </w:r>
      <w:r w:rsidR="001D6DA5">
        <w:t xml:space="preserve"> θα παρουσιάσει τις δράσεις</w:t>
      </w:r>
      <w:r>
        <w:t xml:space="preserve">. </w:t>
      </w:r>
      <w:r w:rsidR="0023640C">
        <w:t>Την εκδήλωση θα συντονίσει η ψυχολόγος Ελένη Κακουλίδη, σύμβουλος σταδιοδρομίας του Γραφείου Διασύνδεσης του Παντείου Πανεπιστημίου.</w:t>
      </w:r>
    </w:p>
    <w:p w:rsidR="00F5507B" w:rsidRPr="00112B7A" w:rsidRDefault="00F5507B" w:rsidP="00F5507B">
      <w:pPr>
        <w:jc w:val="both"/>
      </w:pPr>
    </w:p>
    <w:p w:rsidR="00F5507B" w:rsidRPr="00F5507B" w:rsidRDefault="00F5507B" w:rsidP="00F5507B">
      <w:pPr>
        <w:jc w:val="both"/>
      </w:pPr>
      <w:r>
        <w:t xml:space="preserve">Οι συγκεκριμένες δράσεις πρόληψης και ενημέρωσης φοιτητών για τις εξαρτήσεις με τον τίτλο «Διαδρομές», εντάσσονται </w:t>
      </w:r>
      <w:r w:rsidRPr="00561EB5">
        <w:t xml:space="preserve">στο πλαίσιο </w:t>
      </w:r>
      <w:r>
        <w:t xml:space="preserve">του εγκεκριμένου προγράμματος ΕΣΠΑ με τίτλο «Προγράμματα στην κοινότητα και στον δρόμο (πρόληψης, έγκαιρης παρέμβασης) για τη μείωση της ζήτησης εξαρτησιογόνων ουσιών» που υλοποιεί </w:t>
      </w:r>
      <w:r w:rsidRPr="00561EB5">
        <w:t>ο</w:t>
      </w:r>
      <w:r>
        <w:t xml:space="preserve"> ΟΚΑΝΑ</w:t>
      </w:r>
      <w:r w:rsidRPr="00561EB5">
        <w:t xml:space="preserve"> </w:t>
      </w:r>
      <w:r>
        <w:t>και περιλαμβάνει σειρά</w:t>
      </w:r>
      <w:r w:rsidRPr="00561EB5">
        <w:t xml:space="preserve"> </w:t>
      </w:r>
      <w:r>
        <w:t>ενημερωτικών</w:t>
      </w:r>
      <w:r w:rsidRPr="00561EB5">
        <w:t xml:space="preserve"> εκδηλώσεων </w:t>
      </w:r>
      <w:r>
        <w:t>σε όλα τα ανώτατα εκπαιδευτικά</w:t>
      </w:r>
      <w:r w:rsidRPr="00561EB5">
        <w:t xml:space="preserve"> ιδρύματα της πρωτεύουσας. </w:t>
      </w:r>
    </w:p>
    <w:p w:rsidR="00F5507B" w:rsidRPr="00F5507B" w:rsidRDefault="00F5507B" w:rsidP="00F5507B">
      <w:pPr>
        <w:jc w:val="both"/>
      </w:pPr>
    </w:p>
    <w:p w:rsidR="002E44E1" w:rsidRPr="00D038C6" w:rsidRDefault="00F5507B" w:rsidP="00D038C6">
      <w:pPr>
        <w:jc w:val="both"/>
      </w:pPr>
      <w:r w:rsidRPr="00561EB5">
        <w:t>Ήδη</w:t>
      </w:r>
      <w:r w:rsidR="0023640C">
        <w:t xml:space="preserve"> </w:t>
      </w:r>
      <w:r w:rsidR="007C07C5">
        <w:t xml:space="preserve">τον προηγούμενο μήνα </w:t>
      </w:r>
      <w:r w:rsidR="0023640C">
        <w:t xml:space="preserve">πραγματοποιήθηκαν ανάλογες δράσεις </w:t>
      </w:r>
      <w:r w:rsidRPr="00561EB5">
        <w:t>σ</w:t>
      </w:r>
      <w:r w:rsidR="0071580A">
        <w:t>την Ανωτάτη Σχολή Καλών Τεχνών</w:t>
      </w:r>
      <w:r w:rsidR="0023640C">
        <w:t xml:space="preserve"> και το Πανεπιστήμιο Πειραιώς, ενώ</w:t>
      </w:r>
      <w:r w:rsidR="00357B28">
        <w:t xml:space="preserve"> </w:t>
      </w:r>
      <w:r>
        <w:t>κατ</w:t>
      </w:r>
      <w:r w:rsidR="007C07C5">
        <w:t xml:space="preserve">ά τη διάρκεια του επόμενου </w:t>
      </w:r>
      <w:r w:rsidR="0091728C">
        <w:t xml:space="preserve">έτους </w:t>
      </w:r>
      <w:r w:rsidR="007C07C5">
        <w:t>σχεδιάζονται</w:t>
      </w:r>
      <w:r>
        <w:t xml:space="preserve"> </w:t>
      </w:r>
      <w:r w:rsidR="00357B28">
        <w:t>αντίστοιχες</w:t>
      </w:r>
      <w:r w:rsidR="0071580A">
        <w:t xml:space="preserve"> </w:t>
      </w:r>
      <w:r>
        <w:t>εκδηλώσει</w:t>
      </w:r>
      <w:r w:rsidR="00336171">
        <w:t>ς,</w:t>
      </w:r>
      <w:r w:rsidR="0023640C">
        <w:t xml:space="preserve"> μεταξύ άλλων</w:t>
      </w:r>
      <w:r w:rsidR="00336171">
        <w:t>, στο</w:t>
      </w:r>
      <w:r>
        <w:t xml:space="preserve"> Γεωπονικό Πανεπιστήμι</w:t>
      </w:r>
      <w:r w:rsidR="0023640C">
        <w:t>ο, στο Μετσόβιο Πολυτεχνείο, στα</w:t>
      </w:r>
      <w:r>
        <w:t xml:space="preserve">  ΤΕΙ Αθηνών </w:t>
      </w:r>
      <w:r w:rsidR="0023640C">
        <w:t xml:space="preserve">και Πειραιώς, </w:t>
      </w:r>
      <w:r>
        <w:t xml:space="preserve">κ.α. </w:t>
      </w:r>
    </w:p>
    <w:sectPr w:rsidR="002E44E1" w:rsidRPr="00D038C6" w:rsidSect="0018719C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2B6" w:rsidRDefault="00E762B6" w:rsidP="00DB36F4">
      <w:r>
        <w:separator/>
      </w:r>
    </w:p>
  </w:endnote>
  <w:endnote w:type="continuationSeparator" w:id="1">
    <w:p w:rsidR="00E762B6" w:rsidRDefault="00E762B6" w:rsidP="00DB3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MT">
    <w:charset w:val="A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0" w:type="dxa"/>
      <w:tblLayout w:type="fixed"/>
      <w:tblCellMar>
        <w:left w:w="0" w:type="dxa"/>
        <w:right w:w="0" w:type="dxa"/>
      </w:tblCellMar>
      <w:tblLook w:val="0000"/>
    </w:tblPr>
    <w:tblGrid>
      <w:gridCol w:w="1551"/>
      <w:gridCol w:w="1881"/>
      <w:gridCol w:w="3169"/>
      <w:gridCol w:w="1635"/>
    </w:tblGrid>
    <w:tr w:rsidR="00356240">
      <w:trPr>
        <w:trHeight w:val="90"/>
      </w:trPr>
      <w:tc>
        <w:tcPr>
          <w:tcW w:w="1551" w:type="dxa"/>
          <w:shd w:val="clear" w:color="auto" w:fill="auto"/>
          <w:vAlign w:val="center"/>
        </w:tcPr>
        <w:p w:rsidR="00356240" w:rsidRDefault="00A71CF9" w:rsidP="00B12989">
          <w:pPr>
            <w:pStyle w:val="a4"/>
            <w:snapToGrid w:val="0"/>
            <w:jc w:val="center"/>
            <w:rPr>
              <w:rFonts w:ascii="Bookman Old Style" w:hAnsi="Bookman Old Style" w:cs="Arial"/>
              <w:color w:val="000080"/>
              <w:sz w:val="14"/>
              <w:szCs w:val="14"/>
              <w:lang w:val="en-US"/>
            </w:rPr>
          </w:pPr>
          <w:r>
            <w:rPr>
              <w:rFonts w:ascii="Bookman Old Style" w:hAnsi="Bookman Old Style" w:cs="Arial"/>
              <w:noProof/>
              <w:sz w:val="14"/>
              <w:szCs w:val="14"/>
              <w:lang w:val="en-US" w:eastAsia="en-US"/>
            </w:rPr>
            <w:drawing>
              <wp:inline distT="0" distB="0" distL="0" distR="0">
                <wp:extent cx="845185" cy="603885"/>
                <wp:effectExtent l="19050" t="0" r="0" b="0"/>
                <wp:docPr id="4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56240" w:rsidRDefault="00356240" w:rsidP="00B12989">
          <w:pPr>
            <w:pStyle w:val="a4"/>
            <w:jc w:val="center"/>
            <w:rPr>
              <w:rFonts w:ascii="Bookman Old Style" w:hAnsi="Bookman Old Style" w:cs="Arial"/>
              <w:color w:val="000080"/>
              <w:sz w:val="14"/>
              <w:szCs w:val="14"/>
              <w:lang w:val="en-US"/>
            </w:rPr>
          </w:pPr>
          <w:r>
            <w:rPr>
              <w:rFonts w:ascii="Bookman Old Style" w:hAnsi="Bookman Old Style" w:cs="Arial"/>
              <w:color w:val="000080"/>
              <w:sz w:val="14"/>
              <w:szCs w:val="14"/>
              <w:lang w:val="en-US"/>
            </w:rPr>
            <w:t>www.ygeia-pronoia.gr</w:t>
          </w:r>
        </w:p>
      </w:tc>
      <w:tc>
        <w:tcPr>
          <w:tcW w:w="1881" w:type="dxa"/>
          <w:shd w:val="clear" w:color="auto" w:fill="auto"/>
        </w:tcPr>
        <w:p w:rsidR="00356240" w:rsidRDefault="00356240" w:rsidP="00B12989">
          <w:pPr>
            <w:pStyle w:val="a4"/>
            <w:snapToGrid w:val="0"/>
            <w:rPr>
              <w:rFonts w:ascii="Bookman Old Style" w:hAnsi="Bookman Old Style" w:cs="Arial"/>
              <w:sz w:val="14"/>
              <w:szCs w:val="14"/>
            </w:rPr>
          </w:pPr>
        </w:p>
        <w:p w:rsidR="00356240" w:rsidRDefault="00356240" w:rsidP="00B12989">
          <w:pPr>
            <w:pStyle w:val="a4"/>
            <w:jc w:val="center"/>
            <w:rPr>
              <w:rFonts w:ascii="Bookman Old Style" w:hAnsi="Bookman Old Style"/>
              <w:color w:val="000080"/>
              <w:sz w:val="14"/>
              <w:szCs w:val="14"/>
            </w:rPr>
          </w:pPr>
          <w:r>
            <w:rPr>
              <w:rFonts w:ascii="Bookman Old Style" w:hAnsi="Bookman Old Style"/>
              <w:color w:val="000080"/>
              <w:sz w:val="14"/>
              <w:szCs w:val="14"/>
            </w:rPr>
            <w:t xml:space="preserve">Με την συγχρηματοδότηση της Ευρωπαϊκής Ενωσης </w:t>
          </w:r>
        </w:p>
      </w:tc>
      <w:tc>
        <w:tcPr>
          <w:tcW w:w="3169" w:type="dxa"/>
          <w:shd w:val="clear" w:color="auto" w:fill="auto"/>
        </w:tcPr>
        <w:p w:rsidR="00356240" w:rsidRDefault="00A71CF9" w:rsidP="00B12989">
          <w:pPr>
            <w:pStyle w:val="a4"/>
            <w:snapToGrid w:val="0"/>
            <w:ind w:left="-108"/>
            <w:rPr>
              <w:rFonts w:ascii="Bookman Old Style" w:hAnsi="Bookman Old Style" w:cs="Arial"/>
              <w:color w:val="000080"/>
              <w:sz w:val="14"/>
              <w:szCs w:val="14"/>
              <w:lang w:val="en-US"/>
            </w:rPr>
          </w:pPr>
          <w:r>
            <w:rPr>
              <w:rFonts w:ascii="Bookman Old Style" w:hAnsi="Bookman Old Style" w:cs="Arial"/>
              <w:noProof/>
              <w:sz w:val="14"/>
              <w:szCs w:val="14"/>
              <w:lang w:val="en-US" w:eastAsia="en-US"/>
            </w:rPr>
            <w:drawing>
              <wp:inline distT="0" distB="0" distL="0" distR="0">
                <wp:extent cx="1941195" cy="569595"/>
                <wp:effectExtent l="19050" t="0" r="1905" b="0"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119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56240" w:rsidRDefault="00356240" w:rsidP="00B12989">
          <w:pPr>
            <w:pStyle w:val="a4"/>
            <w:ind w:left="-108"/>
            <w:jc w:val="center"/>
            <w:rPr>
              <w:rFonts w:ascii="Bookman Old Style" w:hAnsi="Bookman Old Style" w:cs="Arial"/>
              <w:color w:val="000080"/>
              <w:sz w:val="14"/>
              <w:szCs w:val="14"/>
              <w:lang w:val="en-US"/>
            </w:rPr>
          </w:pPr>
          <w:r>
            <w:rPr>
              <w:rFonts w:ascii="Bookman Old Style" w:hAnsi="Bookman Old Style" w:cs="Arial"/>
              <w:color w:val="000080"/>
              <w:sz w:val="14"/>
              <w:szCs w:val="14"/>
              <w:lang w:val="en-US"/>
            </w:rPr>
            <w:t>www.epanad.gov.gr</w:t>
          </w:r>
        </w:p>
      </w:tc>
      <w:tc>
        <w:tcPr>
          <w:tcW w:w="1635" w:type="dxa"/>
          <w:shd w:val="clear" w:color="auto" w:fill="auto"/>
          <w:vAlign w:val="center"/>
        </w:tcPr>
        <w:p w:rsidR="00356240" w:rsidRDefault="00A71CF9" w:rsidP="00B12989">
          <w:pPr>
            <w:pStyle w:val="a4"/>
            <w:snapToGrid w:val="0"/>
            <w:ind w:left="-108"/>
            <w:jc w:val="center"/>
            <w:rPr>
              <w:rFonts w:ascii="Bookman Old Style" w:hAnsi="Bookman Old Style" w:cs="Arial"/>
              <w:color w:val="000080"/>
              <w:sz w:val="14"/>
              <w:szCs w:val="14"/>
              <w:lang w:val="en-US"/>
            </w:rPr>
          </w:pPr>
          <w:r>
            <w:rPr>
              <w:rFonts w:ascii="Bookman Old Style" w:hAnsi="Bookman Old Style"/>
              <w:noProof/>
              <w:sz w:val="14"/>
              <w:szCs w:val="14"/>
              <w:lang w:val="en-US" w:eastAsia="en-US"/>
            </w:rPr>
            <w:drawing>
              <wp:inline distT="0" distB="0" distL="0" distR="0">
                <wp:extent cx="784860" cy="517525"/>
                <wp:effectExtent l="19050" t="0" r="0" b="0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56240" w:rsidRDefault="00356240" w:rsidP="00B12989">
          <w:pPr>
            <w:pStyle w:val="a4"/>
            <w:ind w:left="-108"/>
            <w:jc w:val="center"/>
            <w:rPr>
              <w:rFonts w:ascii="Bookman Old Style" w:hAnsi="Bookman Old Style" w:cs="Arial"/>
              <w:color w:val="000080"/>
              <w:sz w:val="14"/>
              <w:szCs w:val="14"/>
              <w:lang w:val="en-US"/>
            </w:rPr>
          </w:pPr>
          <w:r>
            <w:rPr>
              <w:rFonts w:ascii="Bookman Old Style" w:hAnsi="Bookman Old Style" w:cs="Arial"/>
              <w:color w:val="000080"/>
              <w:sz w:val="14"/>
              <w:szCs w:val="14"/>
              <w:lang w:val="en-US"/>
            </w:rPr>
            <w:t>www.espa.gr</w:t>
          </w:r>
        </w:p>
      </w:tc>
    </w:tr>
  </w:tbl>
  <w:p w:rsidR="00356240" w:rsidRDefault="003562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2B6" w:rsidRDefault="00E762B6" w:rsidP="00DB36F4">
      <w:r>
        <w:separator/>
      </w:r>
    </w:p>
  </w:footnote>
  <w:footnote w:type="continuationSeparator" w:id="1">
    <w:p w:rsidR="00E762B6" w:rsidRDefault="00E762B6" w:rsidP="00DB3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1980"/>
      <w:gridCol w:w="6840"/>
      <w:gridCol w:w="2160"/>
    </w:tblGrid>
    <w:tr w:rsidR="00356240">
      <w:trPr>
        <w:cantSplit/>
      </w:trPr>
      <w:tc>
        <w:tcPr>
          <w:tcW w:w="1980" w:type="dxa"/>
          <w:shd w:val="clear" w:color="auto" w:fill="auto"/>
        </w:tcPr>
        <w:p w:rsidR="00356240" w:rsidRDefault="00A71CF9" w:rsidP="00B12989">
          <w:pPr>
            <w:snapToGrid w:val="0"/>
            <w:spacing w:before="60" w:line="320" w:lineRule="atLeast"/>
            <w:jc w:val="center"/>
            <w:rPr>
              <w:rFonts w:ascii="Bookman Old Style" w:hAnsi="Bookman Old Style"/>
              <w:b/>
              <w:bCs/>
              <w:caps/>
              <w:color w:val="000080"/>
              <w:sz w:val="14"/>
              <w:szCs w:val="14"/>
            </w:rPr>
          </w:pPr>
          <w:r>
            <w:rPr>
              <w:rFonts w:ascii="Bookman Old Style" w:hAnsi="Bookman Old Style" w:cs="Arial"/>
              <w:noProof/>
              <w:sz w:val="14"/>
              <w:szCs w:val="14"/>
              <w:lang w:val="en-US" w:eastAsia="en-US"/>
            </w:rPr>
            <w:drawing>
              <wp:inline distT="0" distB="0" distL="0" distR="0">
                <wp:extent cx="1190625" cy="802005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shd w:val="clear" w:color="auto" w:fill="auto"/>
        </w:tcPr>
        <w:p w:rsidR="00356240" w:rsidRDefault="00356240" w:rsidP="00B12989">
          <w:pPr>
            <w:autoSpaceDE w:val="0"/>
            <w:snapToGrid w:val="0"/>
            <w:jc w:val="center"/>
            <w:rPr>
              <w:rFonts w:ascii="Verdana" w:hAnsi="Verdana" w:cs="Arial"/>
              <w:bCs/>
              <w:color w:val="000080"/>
              <w:sz w:val="16"/>
              <w:szCs w:val="16"/>
            </w:rPr>
          </w:pPr>
          <w:r>
            <w:rPr>
              <w:rFonts w:ascii="Bookman Old Style" w:hAnsi="Bookman Old Style"/>
              <w:b/>
              <w:bCs/>
              <w:caps/>
              <w:color w:val="000080"/>
              <w:sz w:val="14"/>
              <w:szCs w:val="14"/>
            </w:rPr>
            <w:t xml:space="preserve"> </w:t>
          </w:r>
          <w:r>
            <w:rPr>
              <w:rFonts w:ascii="Verdana" w:hAnsi="Verdana"/>
              <w:b/>
              <w:bCs/>
              <w:color w:val="666699"/>
              <w:sz w:val="16"/>
              <w:szCs w:val="16"/>
            </w:rPr>
            <w:t xml:space="preserve"> «</w:t>
          </w:r>
          <w:r>
            <w:rPr>
              <w:rFonts w:ascii="Verdana" w:hAnsi="Verdana" w:cs="ArialMT"/>
              <w:color w:val="000080"/>
              <w:sz w:val="16"/>
              <w:szCs w:val="16"/>
            </w:rPr>
            <w:t>Προγράμματα Στην Κοινότητα Και Στο Δρόμο (Πρόληψης Και Έγκαιρης Παρέμβασης) Για Τη Μείωση Της Ζήτησης Εξαρτησιογόνων Ουσιών</w:t>
          </w:r>
          <w:r>
            <w:rPr>
              <w:rFonts w:ascii="Verdana" w:hAnsi="Verdana" w:cs="Arial"/>
              <w:bCs/>
              <w:color w:val="000080"/>
              <w:sz w:val="16"/>
              <w:szCs w:val="16"/>
            </w:rPr>
            <w:t>»</w:t>
          </w:r>
        </w:p>
        <w:p w:rsidR="00356240" w:rsidRDefault="00A71CF9" w:rsidP="00B12989">
          <w:pPr>
            <w:jc w:val="center"/>
            <w:rPr>
              <w:rFonts w:ascii="Bookman Old Style" w:hAnsi="Bookman Old Style"/>
              <w:b/>
              <w:sz w:val="14"/>
              <w:szCs w:val="14"/>
              <w:lang w:val="en-US"/>
            </w:rPr>
          </w:pPr>
          <w:r>
            <w:rPr>
              <w:rFonts w:ascii="Bookman Old Style" w:hAnsi="Bookman Old Style"/>
              <w:noProof/>
              <w:sz w:val="14"/>
              <w:szCs w:val="14"/>
              <w:lang w:val="en-US" w:eastAsia="en-US"/>
            </w:rPr>
            <w:drawing>
              <wp:inline distT="0" distB="0" distL="0" distR="0">
                <wp:extent cx="767715" cy="629920"/>
                <wp:effectExtent l="19050" t="0" r="0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356240">
            <w:rPr>
              <w:rFonts w:ascii="Bookman Old Style" w:hAnsi="Bookman Old Style"/>
              <w:b/>
              <w:sz w:val="14"/>
              <w:szCs w:val="14"/>
              <w:lang w:val="en-US"/>
            </w:rPr>
            <w:t xml:space="preserve"> </w:t>
          </w:r>
        </w:p>
        <w:p w:rsidR="00356240" w:rsidRDefault="00356240" w:rsidP="00B12989">
          <w:pPr>
            <w:jc w:val="center"/>
            <w:rPr>
              <w:rFonts w:ascii="Bookman Old Style" w:hAnsi="Bookman Old Style"/>
              <w:b/>
              <w:sz w:val="14"/>
              <w:szCs w:val="14"/>
              <w:lang w:val="en-US"/>
            </w:rPr>
          </w:pPr>
          <w:r>
            <w:rPr>
              <w:rFonts w:ascii="Bookman Old Style" w:hAnsi="Bookman Old Style"/>
              <w:b/>
              <w:sz w:val="14"/>
              <w:szCs w:val="14"/>
              <w:lang w:val="en-US"/>
            </w:rPr>
            <w:t>OKANA</w:t>
          </w:r>
        </w:p>
      </w:tc>
      <w:tc>
        <w:tcPr>
          <w:tcW w:w="2160" w:type="dxa"/>
          <w:shd w:val="clear" w:color="auto" w:fill="auto"/>
        </w:tcPr>
        <w:p w:rsidR="00356240" w:rsidRDefault="00A71CF9" w:rsidP="00B12989">
          <w:pPr>
            <w:snapToGrid w:val="0"/>
            <w:spacing w:before="60" w:line="320" w:lineRule="atLeast"/>
            <w:ind w:left="432"/>
            <w:rPr>
              <w:rFonts w:ascii="Bookman Old Style" w:hAnsi="Bookman Old Style"/>
              <w:b/>
              <w:sz w:val="14"/>
              <w:szCs w:val="14"/>
            </w:rPr>
          </w:pPr>
          <w:r>
            <w:rPr>
              <w:rFonts w:ascii="Bookman Old Style" w:hAnsi="Bookman Old Style"/>
              <w:b/>
              <w:noProof/>
              <w:sz w:val="14"/>
              <w:szCs w:val="14"/>
              <w:lang w:val="en-US" w:eastAsia="en-US"/>
            </w:rPr>
            <w:drawing>
              <wp:inline distT="0" distB="0" distL="0" distR="0">
                <wp:extent cx="1026795" cy="647065"/>
                <wp:effectExtent l="19050" t="0" r="1905" b="0"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79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356240">
            <w:rPr>
              <w:rFonts w:ascii="Bookman Old Style" w:hAnsi="Bookman Old Style"/>
              <w:b/>
              <w:sz w:val="14"/>
              <w:szCs w:val="14"/>
            </w:rPr>
            <w:t>ΕΥΡΩΠΑΙΚΗ ΕΝΩΣΗ</w:t>
          </w:r>
        </w:p>
      </w:tc>
    </w:tr>
  </w:tbl>
  <w:p w:rsidR="00356240" w:rsidRDefault="003562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BEA"/>
    <w:multiLevelType w:val="hybridMultilevel"/>
    <w:tmpl w:val="2C8439F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6650A"/>
    <w:multiLevelType w:val="hybridMultilevel"/>
    <w:tmpl w:val="E77291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B1967CF"/>
    <w:multiLevelType w:val="hybridMultilevel"/>
    <w:tmpl w:val="7DE8D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051B9"/>
    <w:multiLevelType w:val="hybridMultilevel"/>
    <w:tmpl w:val="82988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27E06"/>
    <w:multiLevelType w:val="hybridMultilevel"/>
    <w:tmpl w:val="DA28AA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9446C63"/>
    <w:multiLevelType w:val="hybridMultilevel"/>
    <w:tmpl w:val="CA9EA0D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0CE3CD0"/>
    <w:multiLevelType w:val="hybridMultilevel"/>
    <w:tmpl w:val="739EEA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D4624D"/>
    <w:multiLevelType w:val="hybridMultilevel"/>
    <w:tmpl w:val="2F4E397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247663"/>
    <w:multiLevelType w:val="hybridMultilevel"/>
    <w:tmpl w:val="E6B2F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B57C0"/>
    <w:multiLevelType w:val="hybridMultilevel"/>
    <w:tmpl w:val="DD3C048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DF7BE0"/>
    <w:multiLevelType w:val="hybridMultilevel"/>
    <w:tmpl w:val="04F6C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02081"/>
    <w:multiLevelType w:val="hybridMultilevel"/>
    <w:tmpl w:val="6EF071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002E81"/>
    <w:multiLevelType w:val="hybridMultilevel"/>
    <w:tmpl w:val="9280D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C2783"/>
    <w:multiLevelType w:val="hybridMultilevel"/>
    <w:tmpl w:val="1D5A4AD8"/>
    <w:lvl w:ilvl="0" w:tplc="91CA8D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color="3366FF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C5192E"/>
    <w:multiLevelType w:val="hybridMultilevel"/>
    <w:tmpl w:val="273EBE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D36B4"/>
    <w:multiLevelType w:val="hybridMultilevel"/>
    <w:tmpl w:val="C86A38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3E633D"/>
    <w:multiLevelType w:val="hybridMultilevel"/>
    <w:tmpl w:val="E4B240B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E56CDC"/>
    <w:multiLevelType w:val="hybridMultilevel"/>
    <w:tmpl w:val="08AABA6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E184354"/>
    <w:multiLevelType w:val="hybridMultilevel"/>
    <w:tmpl w:val="3FD40FB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CA599E"/>
    <w:multiLevelType w:val="hybridMultilevel"/>
    <w:tmpl w:val="9D2056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20C6658"/>
    <w:multiLevelType w:val="hybridMultilevel"/>
    <w:tmpl w:val="A60EDAB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94B6602"/>
    <w:multiLevelType w:val="hybridMultilevel"/>
    <w:tmpl w:val="42623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9158E8"/>
    <w:multiLevelType w:val="multilevel"/>
    <w:tmpl w:val="739E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C44BCE"/>
    <w:multiLevelType w:val="multilevel"/>
    <w:tmpl w:val="7EA647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BC766B"/>
    <w:multiLevelType w:val="hybridMultilevel"/>
    <w:tmpl w:val="5BF6640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717193"/>
    <w:multiLevelType w:val="hybridMultilevel"/>
    <w:tmpl w:val="BFD0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D9035B"/>
    <w:multiLevelType w:val="hybridMultilevel"/>
    <w:tmpl w:val="A9DA93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F31E3"/>
    <w:multiLevelType w:val="hybridMultilevel"/>
    <w:tmpl w:val="651684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B5ED1"/>
    <w:multiLevelType w:val="hybridMultilevel"/>
    <w:tmpl w:val="76BEF770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1341C8C"/>
    <w:multiLevelType w:val="hybridMultilevel"/>
    <w:tmpl w:val="CA0A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3973D9"/>
    <w:multiLevelType w:val="hybridMultilevel"/>
    <w:tmpl w:val="527001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CB4BD9"/>
    <w:multiLevelType w:val="hybridMultilevel"/>
    <w:tmpl w:val="DF5C68E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EF7D77"/>
    <w:multiLevelType w:val="hybridMultilevel"/>
    <w:tmpl w:val="45901C24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2C1DA7"/>
    <w:multiLevelType w:val="hybridMultilevel"/>
    <w:tmpl w:val="7EA6474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701453"/>
    <w:multiLevelType w:val="hybridMultilevel"/>
    <w:tmpl w:val="E7707A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4"/>
  </w:num>
  <w:num w:numId="3">
    <w:abstractNumId w:val="9"/>
  </w:num>
  <w:num w:numId="4">
    <w:abstractNumId w:val="22"/>
  </w:num>
  <w:num w:numId="5">
    <w:abstractNumId w:val="33"/>
  </w:num>
  <w:num w:numId="6">
    <w:abstractNumId w:val="23"/>
  </w:num>
  <w:num w:numId="7">
    <w:abstractNumId w:val="32"/>
  </w:num>
  <w:num w:numId="8">
    <w:abstractNumId w:val="4"/>
  </w:num>
  <w:num w:numId="9">
    <w:abstractNumId w:val="29"/>
  </w:num>
  <w:num w:numId="10">
    <w:abstractNumId w:val="12"/>
  </w:num>
  <w:num w:numId="11">
    <w:abstractNumId w:val="27"/>
  </w:num>
  <w:num w:numId="12">
    <w:abstractNumId w:val="20"/>
  </w:num>
  <w:num w:numId="13">
    <w:abstractNumId w:val="11"/>
  </w:num>
  <w:num w:numId="14">
    <w:abstractNumId w:val="34"/>
  </w:num>
  <w:num w:numId="15">
    <w:abstractNumId w:val="7"/>
  </w:num>
  <w:num w:numId="16">
    <w:abstractNumId w:val="30"/>
  </w:num>
  <w:num w:numId="17">
    <w:abstractNumId w:val="31"/>
  </w:num>
  <w:num w:numId="18">
    <w:abstractNumId w:val="18"/>
  </w:num>
  <w:num w:numId="19">
    <w:abstractNumId w:val="8"/>
  </w:num>
  <w:num w:numId="20">
    <w:abstractNumId w:val="21"/>
  </w:num>
  <w:num w:numId="21">
    <w:abstractNumId w:val="1"/>
  </w:num>
  <w:num w:numId="22">
    <w:abstractNumId w:val="5"/>
  </w:num>
  <w:num w:numId="23">
    <w:abstractNumId w:val="25"/>
  </w:num>
  <w:num w:numId="24">
    <w:abstractNumId w:val="2"/>
  </w:num>
  <w:num w:numId="25">
    <w:abstractNumId w:val="26"/>
  </w:num>
  <w:num w:numId="26">
    <w:abstractNumId w:val="19"/>
  </w:num>
  <w:num w:numId="27">
    <w:abstractNumId w:val="14"/>
  </w:num>
  <w:num w:numId="28">
    <w:abstractNumId w:val="13"/>
  </w:num>
  <w:num w:numId="29">
    <w:abstractNumId w:val="10"/>
  </w:num>
  <w:num w:numId="30">
    <w:abstractNumId w:val="3"/>
  </w:num>
  <w:num w:numId="31">
    <w:abstractNumId w:val="16"/>
  </w:num>
  <w:num w:numId="32">
    <w:abstractNumId w:val="15"/>
  </w:num>
  <w:num w:numId="33">
    <w:abstractNumId w:val="0"/>
  </w:num>
  <w:num w:numId="34">
    <w:abstractNumId w:val="28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0EB"/>
    <w:rsid w:val="00027288"/>
    <w:rsid w:val="0003310E"/>
    <w:rsid w:val="000347A0"/>
    <w:rsid w:val="000375FB"/>
    <w:rsid w:val="000423B5"/>
    <w:rsid w:val="00056371"/>
    <w:rsid w:val="00063E99"/>
    <w:rsid w:val="00070190"/>
    <w:rsid w:val="00076602"/>
    <w:rsid w:val="000C4FE3"/>
    <w:rsid w:val="000D1460"/>
    <w:rsid w:val="000D1B88"/>
    <w:rsid w:val="000F17B1"/>
    <w:rsid w:val="00112564"/>
    <w:rsid w:val="00112B7A"/>
    <w:rsid w:val="00117322"/>
    <w:rsid w:val="00122B9E"/>
    <w:rsid w:val="00133CB6"/>
    <w:rsid w:val="001423F1"/>
    <w:rsid w:val="0015079A"/>
    <w:rsid w:val="00154D65"/>
    <w:rsid w:val="00156405"/>
    <w:rsid w:val="00157EA4"/>
    <w:rsid w:val="00164FAF"/>
    <w:rsid w:val="00166F48"/>
    <w:rsid w:val="001711AF"/>
    <w:rsid w:val="0018719C"/>
    <w:rsid w:val="001879B2"/>
    <w:rsid w:val="001B07BE"/>
    <w:rsid w:val="001B3534"/>
    <w:rsid w:val="001D319D"/>
    <w:rsid w:val="001D3523"/>
    <w:rsid w:val="001D6DA5"/>
    <w:rsid w:val="00215A31"/>
    <w:rsid w:val="00233D99"/>
    <w:rsid w:val="0023640C"/>
    <w:rsid w:val="00251A29"/>
    <w:rsid w:val="00252729"/>
    <w:rsid w:val="00256D1A"/>
    <w:rsid w:val="00272BC6"/>
    <w:rsid w:val="00275E79"/>
    <w:rsid w:val="002770E9"/>
    <w:rsid w:val="002871C1"/>
    <w:rsid w:val="00290D82"/>
    <w:rsid w:val="002921FD"/>
    <w:rsid w:val="002A07D9"/>
    <w:rsid w:val="002A3BB3"/>
    <w:rsid w:val="002B30F0"/>
    <w:rsid w:val="002C73AE"/>
    <w:rsid w:val="002D5A4B"/>
    <w:rsid w:val="002E293C"/>
    <w:rsid w:val="002E44E1"/>
    <w:rsid w:val="002E55C9"/>
    <w:rsid w:val="002F5869"/>
    <w:rsid w:val="003035A8"/>
    <w:rsid w:val="00312A09"/>
    <w:rsid w:val="00336171"/>
    <w:rsid w:val="00352A4E"/>
    <w:rsid w:val="00356240"/>
    <w:rsid w:val="00357B28"/>
    <w:rsid w:val="00365964"/>
    <w:rsid w:val="00372258"/>
    <w:rsid w:val="0037502D"/>
    <w:rsid w:val="003A4D25"/>
    <w:rsid w:val="003A55FE"/>
    <w:rsid w:val="003A6BEE"/>
    <w:rsid w:val="003C1A09"/>
    <w:rsid w:val="003E1995"/>
    <w:rsid w:val="003E546E"/>
    <w:rsid w:val="003E5490"/>
    <w:rsid w:val="003F5D5A"/>
    <w:rsid w:val="003F7FB4"/>
    <w:rsid w:val="00400C07"/>
    <w:rsid w:val="00413F73"/>
    <w:rsid w:val="00437945"/>
    <w:rsid w:val="00437B87"/>
    <w:rsid w:val="004637F0"/>
    <w:rsid w:val="00492B66"/>
    <w:rsid w:val="004954D7"/>
    <w:rsid w:val="004B1FA2"/>
    <w:rsid w:val="004C2324"/>
    <w:rsid w:val="004D1E8D"/>
    <w:rsid w:val="004D65D5"/>
    <w:rsid w:val="004E6EF5"/>
    <w:rsid w:val="004F2465"/>
    <w:rsid w:val="00514491"/>
    <w:rsid w:val="00521651"/>
    <w:rsid w:val="00533BBA"/>
    <w:rsid w:val="00541375"/>
    <w:rsid w:val="00545FE2"/>
    <w:rsid w:val="00546E95"/>
    <w:rsid w:val="00574B47"/>
    <w:rsid w:val="0057558A"/>
    <w:rsid w:val="005844AD"/>
    <w:rsid w:val="00585A02"/>
    <w:rsid w:val="005A1A35"/>
    <w:rsid w:val="005D6E20"/>
    <w:rsid w:val="005F62A4"/>
    <w:rsid w:val="005F7577"/>
    <w:rsid w:val="005F79E6"/>
    <w:rsid w:val="006142F5"/>
    <w:rsid w:val="00617607"/>
    <w:rsid w:val="00623B6D"/>
    <w:rsid w:val="00630099"/>
    <w:rsid w:val="0063164C"/>
    <w:rsid w:val="006401AF"/>
    <w:rsid w:val="00645430"/>
    <w:rsid w:val="0064611C"/>
    <w:rsid w:val="0065503E"/>
    <w:rsid w:val="006573D6"/>
    <w:rsid w:val="00663888"/>
    <w:rsid w:val="00667A11"/>
    <w:rsid w:val="006702E4"/>
    <w:rsid w:val="00685B25"/>
    <w:rsid w:val="0068781A"/>
    <w:rsid w:val="00697E54"/>
    <w:rsid w:val="006A3B2C"/>
    <w:rsid w:val="006B365F"/>
    <w:rsid w:val="006C7A20"/>
    <w:rsid w:val="006E5EA3"/>
    <w:rsid w:val="0070187B"/>
    <w:rsid w:val="0071580A"/>
    <w:rsid w:val="00720435"/>
    <w:rsid w:val="007215E1"/>
    <w:rsid w:val="007233C1"/>
    <w:rsid w:val="007269E9"/>
    <w:rsid w:val="00733BD0"/>
    <w:rsid w:val="00745BA6"/>
    <w:rsid w:val="00753DAA"/>
    <w:rsid w:val="00763647"/>
    <w:rsid w:val="0076420C"/>
    <w:rsid w:val="00773CDD"/>
    <w:rsid w:val="007873CE"/>
    <w:rsid w:val="007C014A"/>
    <w:rsid w:val="007C07C5"/>
    <w:rsid w:val="007D3BD8"/>
    <w:rsid w:val="007E5980"/>
    <w:rsid w:val="007E72DF"/>
    <w:rsid w:val="007F1061"/>
    <w:rsid w:val="007F1F54"/>
    <w:rsid w:val="00800232"/>
    <w:rsid w:val="00816CBA"/>
    <w:rsid w:val="008218B8"/>
    <w:rsid w:val="008238AD"/>
    <w:rsid w:val="00824541"/>
    <w:rsid w:val="0082607B"/>
    <w:rsid w:val="0083014D"/>
    <w:rsid w:val="00831E07"/>
    <w:rsid w:val="00841AAC"/>
    <w:rsid w:val="00853701"/>
    <w:rsid w:val="00854DC3"/>
    <w:rsid w:val="00865C71"/>
    <w:rsid w:val="00876B2D"/>
    <w:rsid w:val="008800BB"/>
    <w:rsid w:val="0089042D"/>
    <w:rsid w:val="00891247"/>
    <w:rsid w:val="00892255"/>
    <w:rsid w:val="00893A35"/>
    <w:rsid w:val="00893DC6"/>
    <w:rsid w:val="00894047"/>
    <w:rsid w:val="008A098A"/>
    <w:rsid w:val="008A360B"/>
    <w:rsid w:val="008A3CB0"/>
    <w:rsid w:val="008A6EDC"/>
    <w:rsid w:val="008A7DFE"/>
    <w:rsid w:val="008B11B0"/>
    <w:rsid w:val="008B2E1D"/>
    <w:rsid w:val="008E3AA0"/>
    <w:rsid w:val="008E680B"/>
    <w:rsid w:val="00901586"/>
    <w:rsid w:val="00903C77"/>
    <w:rsid w:val="00912E2D"/>
    <w:rsid w:val="00915914"/>
    <w:rsid w:val="0091728C"/>
    <w:rsid w:val="00921657"/>
    <w:rsid w:val="00926B8A"/>
    <w:rsid w:val="00945D20"/>
    <w:rsid w:val="009503C0"/>
    <w:rsid w:val="00976EFD"/>
    <w:rsid w:val="009839B5"/>
    <w:rsid w:val="009845B5"/>
    <w:rsid w:val="00992319"/>
    <w:rsid w:val="009977BC"/>
    <w:rsid w:val="009B1233"/>
    <w:rsid w:val="009D5BA1"/>
    <w:rsid w:val="00A17F84"/>
    <w:rsid w:val="00A21380"/>
    <w:rsid w:val="00A31DBB"/>
    <w:rsid w:val="00A3643D"/>
    <w:rsid w:val="00A57F7E"/>
    <w:rsid w:val="00A60141"/>
    <w:rsid w:val="00A60B06"/>
    <w:rsid w:val="00A611CD"/>
    <w:rsid w:val="00A71CF9"/>
    <w:rsid w:val="00A77403"/>
    <w:rsid w:val="00A80A84"/>
    <w:rsid w:val="00A93E77"/>
    <w:rsid w:val="00AD4A14"/>
    <w:rsid w:val="00AE387E"/>
    <w:rsid w:val="00AE4E50"/>
    <w:rsid w:val="00AE7115"/>
    <w:rsid w:val="00AF2481"/>
    <w:rsid w:val="00AF65BB"/>
    <w:rsid w:val="00B113F9"/>
    <w:rsid w:val="00B12989"/>
    <w:rsid w:val="00B1666F"/>
    <w:rsid w:val="00B40DCC"/>
    <w:rsid w:val="00B54746"/>
    <w:rsid w:val="00B65559"/>
    <w:rsid w:val="00B6718B"/>
    <w:rsid w:val="00B71E14"/>
    <w:rsid w:val="00B7766A"/>
    <w:rsid w:val="00B902F8"/>
    <w:rsid w:val="00B92424"/>
    <w:rsid w:val="00BB3DA8"/>
    <w:rsid w:val="00BB3DFF"/>
    <w:rsid w:val="00BC3E03"/>
    <w:rsid w:val="00BD0C98"/>
    <w:rsid w:val="00BD1840"/>
    <w:rsid w:val="00BD1911"/>
    <w:rsid w:val="00BD7ACA"/>
    <w:rsid w:val="00C02667"/>
    <w:rsid w:val="00C031F9"/>
    <w:rsid w:val="00C1736D"/>
    <w:rsid w:val="00C228B6"/>
    <w:rsid w:val="00C23D1E"/>
    <w:rsid w:val="00C30BD8"/>
    <w:rsid w:val="00C33C01"/>
    <w:rsid w:val="00C623F1"/>
    <w:rsid w:val="00C62FB2"/>
    <w:rsid w:val="00C63089"/>
    <w:rsid w:val="00C734DA"/>
    <w:rsid w:val="00C82107"/>
    <w:rsid w:val="00C82F94"/>
    <w:rsid w:val="00C94263"/>
    <w:rsid w:val="00CA0142"/>
    <w:rsid w:val="00CB1374"/>
    <w:rsid w:val="00CB25CA"/>
    <w:rsid w:val="00CD3A08"/>
    <w:rsid w:val="00CF092A"/>
    <w:rsid w:val="00CF481A"/>
    <w:rsid w:val="00D038C6"/>
    <w:rsid w:val="00D05861"/>
    <w:rsid w:val="00D21147"/>
    <w:rsid w:val="00D21386"/>
    <w:rsid w:val="00D22393"/>
    <w:rsid w:val="00D22523"/>
    <w:rsid w:val="00D710EB"/>
    <w:rsid w:val="00D77062"/>
    <w:rsid w:val="00D930D8"/>
    <w:rsid w:val="00DA30C1"/>
    <w:rsid w:val="00DB285D"/>
    <w:rsid w:val="00DB36F4"/>
    <w:rsid w:val="00DC44B3"/>
    <w:rsid w:val="00DC48CB"/>
    <w:rsid w:val="00DD0DCA"/>
    <w:rsid w:val="00DE0171"/>
    <w:rsid w:val="00E0540D"/>
    <w:rsid w:val="00E05EB8"/>
    <w:rsid w:val="00E2497C"/>
    <w:rsid w:val="00E366A3"/>
    <w:rsid w:val="00E41CDB"/>
    <w:rsid w:val="00E45176"/>
    <w:rsid w:val="00E62A84"/>
    <w:rsid w:val="00E62C4C"/>
    <w:rsid w:val="00E762B6"/>
    <w:rsid w:val="00EA0B27"/>
    <w:rsid w:val="00EB662E"/>
    <w:rsid w:val="00EC669C"/>
    <w:rsid w:val="00ED76FC"/>
    <w:rsid w:val="00EE56CD"/>
    <w:rsid w:val="00F043EE"/>
    <w:rsid w:val="00F12184"/>
    <w:rsid w:val="00F15D1B"/>
    <w:rsid w:val="00F17279"/>
    <w:rsid w:val="00F439DC"/>
    <w:rsid w:val="00F47711"/>
    <w:rsid w:val="00F52CD4"/>
    <w:rsid w:val="00F5507B"/>
    <w:rsid w:val="00F55524"/>
    <w:rsid w:val="00F572E8"/>
    <w:rsid w:val="00F61216"/>
    <w:rsid w:val="00F8430E"/>
    <w:rsid w:val="00FB4B0D"/>
    <w:rsid w:val="00FC4A04"/>
    <w:rsid w:val="00FD024E"/>
    <w:rsid w:val="00FD17CA"/>
    <w:rsid w:val="00FE15F2"/>
    <w:rsid w:val="00FF456E"/>
    <w:rsid w:val="00FF7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3C77"/>
    <w:rPr>
      <w:sz w:val="24"/>
      <w:szCs w:val="24"/>
      <w:lang w:val="el-GR" w:eastAsia="el-GR"/>
    </w:rPr>
  </w:style>
  <w:style w:type="paragraph" w:styleId="3">
    <w:name w:val="heading 3"/>
    <w:basedOn w:val="a"/>
    <w:next w:val="a"/>
    <w:qFormat/>
    <w:rsid w:val="00D710EB"/>
    <w:pPr>
      <w:keepNext/>
      <w:jc w:val="both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F456E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DB36F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DB36F4"/>
    <w:rPr>
      <w:sz w:val="24"/>
      <w:szCs w:val="24"/>
    </w:rPr>
  </w:style>
  <w:style w:type="paragraph" w:styleId="a4">
    <w:name w:val="footer"/>
    <w:basedOn w:val="a"/>
    <w:link w:val="Char0"/>
    <w:rsid w:val="00DB36F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DB36F4"/>
    <w:rPr>
      <w:sz w:val="24"/>
      <w:szCs w:val="24"/>
    </w:rPr>
  </w:style>
  <w:style w:type="table" w:styleId="a5">
    <w:name w:val="Table Grid"/>
    <w:basedOn w:val="a1"/>
    <w:rsid w:val="003659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83014D"/>
    <w:rPr>
      <w:color w:val="0000FF"/>
      <w:u w:val="single"/>
    </w:rPr>
  </w:style>
  <w:style w:type="character" w:customStyle="1" w:styleId="journal-content-article">
    <w:name w:val="journal-content-article"/>
    <w:basedOn w:val="a0"/>
    <w:rsid w:val="004D65D5"/>
  </w:style>
  <w:style w:type="character" w:styleId="a6">
    <w:name w:val="Strong"/>
    <w:basedOn w:val="a0"/>
    <w:qFormat/>
    <w:rsid w:val="00C23D1E"/>
    <w:rPr>
      <w:b/>
      <w:bCs/>
    </w:rPr>
  </w:style>
  <w:style w:type="character" w:styleId="a7">
    <w:name w:val="Emphasis"/>
    <w:basedOn w:val="a0"/>
    <w:qFormat/>
    <w:rsid w:val="00A77403"/>
    <w:rPr>
      <w:i/>
      <w:iCs/>
    </w:rPr>
  </w:style>
  <w:style w:type="paragraph" w:styleId="a8">
    <w:name w:val="Balloon Text"/>
    <w:basedOn w:val="a"/>
    <w:link w:val="Char1"/>
    <w:rsid w:val="00F5507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rsid w:val="00F5507B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ΟΡΓΑΝΙΣΜΟΣ ΚΑΤΑ ΤΩΝ ΝΑΡΚΩΤΙΚΩΝ</vt:lpstr>
    </vt:vector>
  </TitlesOfParts>
  <Company/>
  <LinksUpToDate>false</LinksUpToDate>
  <CharactersWithSpaces>2730</CharactersWithSpaces>
  <SharedDoc>false</SharedDoc>
  <HLinks>
    <vt:vector size="6" baseType="variant">
      <vt:variant>
        <vt:i4>1245218</vt:i4>
      </vt:variant>
      <vt:variant>
        <vt:i4>0</vt:i4>
      </vt:variant>
      <vt:variant>
        <vt:i4>0</vt:i4>
      </vt:variant>
      <vt:variant>
        <vt:i4>5</vt:i4>
      </vt:variant>
      <vt:variant>
        <vt:lpwstr>mailto:ngeorgala@okana.gr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ΟΡΓΑΝΙΣΜΟΣ ΚΑΤΑ ΤΩΝ ΝΑΡΚΩΤΙΚΩΝ</dc:title>
  <dc:creator>secretary</dc:creator>
  <cp:lastModifiedBy>basil</cp:lastModifiedBy>
  <cp:revision>4</cp:revision>
  <cp:lastPrinted>2013-12-04T08:26:00Z</cp:lastPrinted>
  <dcterms:created xsi:type="dcterms:W3CDTF">2013-12-04T11:05:00Z</dcterms:created>
  <dcterms:modified xsi:type="dcterms:W3CDTF">2013-12-04T11:08:00Z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yrus_DocumentID">
    <vt:i4>0</vt:i4>
  </property>
</Properties>
</file>