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FA3" w:rsidRPr="006E4FA3" w:rsidRDefault="006E4FA3" w:rsidP="006E4FA3">
      <w:pPr>
        <w:spacing w:line="360" w:lineRule="auto"/>
        <w:jc w:val="center"/>
        <w:rPr>
          <w:rFonts w:ascii="Bookman Old Style" w:hAnsi="Bookman Old Style" w:cs="Arial"/>
          <w:b/>
          <w:bCs/>
          <w:i/>
          <w:sz w:val="22"/>
          <w:szCs w:val="22"/>
        </w:rPr>
      </w:pPr>
      <w:r>
        <w:rPr>
          <w:rFonts w:ascii="Bookman Old Style" w:hAnsi="Bookman Old Style" w:cs="Arial"/>
          <w:b/>
          <w:bCs/>
          <w:i/>
          <w:sz w:val="22"/>
          <w:szCs w:val="22"/>
        </w:rPr>
        <w:t>Βασικές αρχές για την αναζήτηση ή αποδοχή χρηματικών ή άλλης μορφής παροχών από ιδιώτες ή επιχειρήσεις</w:t>
      </w:r>
    </w:p>
    <w:p w:rsidR="006E4FA3" w:rsidRPr="006E4FA3" w:rsidRDefault="006E4FA3" w:rsidP="006E4FA3">
      <w:pPr>
        <w:spacing w:line="360" w:lineRule="auto"/>
        <w:jc w:val="center"/>
        <w:rPr>
          <w:rFonts w:ascii="Bookman Old Style" w:hAnsi="Bookman Old Style" w:cs="Arial"/>
          <w:b/>
          <w:bCs/>
          <w:i/>
          <w:sz w:val="22"/>
          <w:szCs w:val="22"/>
        </w:rPr>
      </w:pPr>
    </w:p>
    <w:p w:rsidR="006E4FA3" w:rsidRDefault="006E4FA3" w:rsidP="006E4FA3">
      <w:pPr>
        <w:numPr>
          <w:ilvl w:val="0"/>
          <w:numId w:val="1"/>
        </w:numPr>
        <w:spacing w:line="360" w:lineRule="auto"/>
        <w:contextualSpacing/>
        <w:jc w:val="both"/>
        <w:rPr>
          <w:rFonts w:ascii="Bookman Old Style" w:eastAsia="Calibri" w:hAnsi="Bookman Old Style" w:cs="Arial"/>
          <w:i/>
          <w:sz w:val="22"/>
          <w:szCs w:val="22"/>
          <w:lang w:eastAsia="en-US"/>
        </w:rPr>
      </w:pPr>
      <w:r>
        <w:rPr>
          <w:rFonts w:ascii="Bookman Old Style" w:eastAsia="Calibri" w:hAnsi="Bookman Old Style" w:cs="Arial"/>
          <w:i/>
          <w:sz w:val="22"/>
          <w:szCs w:val="22"/>
          <w:lang w:eastAsia="en-US"/>
        </w:rPr>
        <w:t xml:space="preserve">Καμία  </w:t>
      </w:r>
      <w:proofErr w:type="spellStart"/>
      <w:r>
        <w:rPr>
          <w:rFonts w:ascii="Bookman Old Style" w:eastAsia="Calibri" w:hAnsi="Bookman Old Style" w:cs="Arial"/>
          <w:i/>
          <w:sz w:val="22"/>
          <w:szCs w:val="22"/>
          <w:lang w:eastAsia="en-US"/>
        </w:rPr>
        <w:t>δωρεοδοτική</w:t>
      </w:r>
      <w:proofErr w:type="spellEnd"/>
      <w:r>
        <w:rPr>
          <w:rFonts w:ascii="Bookman Old Style" w:eastAsia="Calibri" w:hAnsi="Bookman Old Style" w:cs="Arial"/>
          <w:i/>
          <w:sz w:val="22"/>
          <w:szCs w:val="22"/>
          <w:lang w:eastAsia="en-US"/>
        </w:rPr>
        <w:t xml:space="preserve"> ή χορηγική πράξη με αποδέκτη τον Οργανισμό δεν επιτρέπεται να θέτει σε κίνδυνο </w:t>
      </w:r>
      <w:r>
        <w:rPr>
          <w:rFonts w:ascii="Bookman Old Style" w:eastAsia="Calibri" w:hAnsi="Bookman Old Style" w:cs="Arial"/>
          <w:b/>
          <w:bCs/>
          <w:i/>
          <w:sz w:val="22"/>
          <w:szCs w:val="22"/>
          <w:lang w:eastAsia="en-US"/>
        </w:rPr>
        <w:t>α)</w:t>
      </w:r>
      <w:r>
        <w:rPr>
          <w:rFonts w:ascii="Bookman Old Style" w:eastAsia="Calibri" w:hAnsi="Bookman Old Style" w:cs="Arial"/>
          <w:i/>
          <w:sz w:val="22"/>
          <w:szCs w:val="22"/>
          <w:lang w:eastAsia="en-US"/>
        </w:rPr>
        <w:t xml:space="preserve"> την αδιατάρακτη και εις το ακέραιο υλοποίηση των πολιτικών του Οργανισμού για την εξυπηρέτηση των σκοπών του, όπως αυτοί ορίζονται από τον ιδρυτικό νόμο λειτουργίας του, </w:t>
      </w:r>
      <w:r>
        <w:rPr>
          <w:rFonts w:ascii="Bookman Old Style" w:eastAsia="Calibri" w:hAnsi="Bookman Old Style" w:cs="Arial"/>
          <w:b/>
          <w:bCs/>
          <w:i/>
          <w:sz w:val="22"/>
          <w:szCs w:val="22"/>
          <w:lang w:eastAsia="en-US"/>
        </w:rPr>
        <w:t>β)</w:t>
      </w:r>
      <w:r>
        <w:rPr>
          <w:rFonts w:ascii="Bookman Old Style" w:eastAsia="Calibri" w:hAnsi="Bookman Old Style" w:cs="Arial"/>
          <w:i/>
          <w:sz w:val="22"/>
          <w:szCs w:val="22"/>
          <w:lang w:eastAsia="en-US"/>
        </w:rPr>
        <w:t xml:space="preserve"> την εξασφάλιση της ισότιμης μεταχείρισης των μελών και υποψήφιων μελών των θεραπευτικών προγραμμάτων του σύμφωνα με το ισχύον θεραπευτικό πλαίσιο λειτουργίας τους, και </w:t>
      </w:r>
      <w:r>
        <w:rPr>
          <w:rFonts w:ascii="Bookman Old Style" w:eastAsia="Calibri" w:hAnsi="Bookman Old Style" w:cs="Arial"/>
          <w:b/>
          <w:bCs/>
          <w:i/>
          <w:sz w:val="22"/>
          <w:szCs w:val="22"/>
          <w:lang w:eastAsia="en-US"/>
        </w:rPr>
        <w:t>γ)</w:t>
      </w:r>
      <w:r>
        <w:rPr>
          <w:rFonts w:ascii="Bookman Old Style" w:eastAsia="Calibri" w:hAnsi="Bookman Old Style" w:cs="Arial"/>
          <w:i/>
          <w:sz w:val="22"/>
          <w:szCs w:val="22"/>
          <w:lang w:eastAsia="en-US"/>
        </w:rPr>
        <w:t xml:space="preserve"> τη λειτουργία του Οργανισμού ως μη κερδοσκοπικού, για όλο το φάσμα των υπηρεσιών που βάσει του σχεδιασμού πολιτικών του αυτός παρέχει.</w:t>
      </w:r>
    </w:p>
    <w:p w:rsidR="006E4FA3" w:rsidRDefault="006E4FA3" w:rsidP="006E4FA3">
      <w:pPr>
        <w:numPr>
          <w:ilvl w:val="0"/>
          <w:numId w:val="1"/>
        </w:numPr>
        <w:spacing w:line="360" w:lineRule="auto"/>
        <w:contextualSpacing/>
        <w:jc w:val="both"/>
        <w:rPr>
          <w:rFonts w:ascii="Bookman Old Style" w:eastAsia="Calibri" w:hAnsi="Bookman Old Style" w:cs="Arial"/>
          <w:i/>
          <w:sz w:val="22"/>
          <w:szCs w:val="22"/>
          <w:lang w:eastAsia="en-US"/>
        </w:rPr>
      </w:pPr>
      <w:r>
        <w:rPr>
          <w:rFonts w:ascii="Bookman Old Style" w:eastAsia="Calibri" w:hAnsi="Bookman Old Style" w:cs="Arial"/>
          <w:i/>
          <w:sz w:val="22"/>
          <w:szCs w:val="22"/>
          <w:lang w:eastAsia="en-US"/>
        </w:rPr>
        <w:t xml:space="preserve">Κάθε </w:t>
      </w:r>
      <w:proofErr w:type="spellStart"/>
      <w:r>
        <w:rPr>
          <w:rFonts w:ascii="Bookman Old Style" w:eastAsia="Calibri" w:hAnsi="Bookman Old Style" w:cs="Arial"/>
          <w:i/>
          <w:sz w:val="22"/>
          <w:szCs w:val="22"/>
          <w:lang w:eastAsia="en-US"/>
        </w:rPr>
        <w:t>δωρεοδοτική</w:t>
      </w:r>
      <w:proofErr w:type="spellEnd"/>
      <w:r>
        <w:rPr>
          <w:rFonts w:ascii="Bookman Old Style" w:eastAsia="Calibri" w:hAnsi="Bookman Old Style" w:cs="Arial"/>
          <w:i/>
          <w:sz w:val="22"/>
          <w:szCs w:val="22"/>
          <w:lang w:eastAsia="en-US"/>
        </w:rPr>
        <w:t xml:space="preserve"> ή χορηγική πράξη θα πρέπει να ακολουθεί τους ισχύοντες κανόνες δημόσιας διαφάνειας και δικαίου.</w:t>
      </w:r>
    </w:p>
    <w:p w:rsidR="006E4FA3" w:rsidRDefault="006E4FA3" w:rsidP="006E4FA3">
      <w:pPr>
        <w:numPr>
          <w:ilvl w:val="0"/>
          <w:numId w:val="1"/>
        </w:numPr>
        <w:spacing w:line="360" w:lineRule="auto"/>
        <w:ind w:left="714" w:hanging="357"/>
        <w:jc w:val="both"/>
        <w:rPr>
          <w:rFonts w:ascii="Bookman Old Style" w:hAnsi="Bookman Old Style" w:cs="Arial"/>
          <w:i/>
          <w:sz w:val="22"/>
          <w:szCs w:val="22"/>
        </w:rPr>
      </w:pPr>
      <w:r>
        <w:rPr>
          <w:rFonts w:ascii="Bookman Old Style" w:hAnsi="Bookman Old Style" w:cs="Arial"/>
          <w:i/>
          <w:sz w:val="22"/>
          <w:szCs w:val="22"/>
        </w:rPr>
        <w:t xml:space="preserve">Οι δωρεές και οι επιχορηγήσεις από τρίτους επιτρέπονται μόνον </w:t>
      </w:r>
      <w:r>
        <w:rPr>
          <w:rFonts w:ascii="Bookman Old Style" w:hAnsi="Bookman Old Style" w:cs="Arial"/>
          <w:b/>
          <w:bCs/>
          <w:i/>
          <w:sz w:val="22"/>
          <w:szCs w:val="22"/>
        </w:rPr>
        <w:t>α)</w:t>
      </w:r>
      <w:r>
        <w:rPr>
          <w:rFonts w:ascii="Bookman Old Style" w:hAnsi="Bookman Old Style" w:cs="Arial"/>
          <w:i/>
          <w:sz w:val="22"/>
          <w:szCs w:val="22"/>
        </w:rPr>
        <w:t xml:space="preserve"> εφόσον είναι τεκμηριωμένες και έχουν εγκριθεί από το Διοικητικό Συμβούλιο του ΟΚΑΝΑ ή σε περίπτωση μικρής δωρεάς από το Γενικό Διευθυντή του ΟΚΑΝΑ, και </w:t>
      </w:r>
      <w:r>
        <w:rPr>
          <w:rFonts w:ascii="Bookman Old Style" w:hAnsi="Bookman Old Style" w:cs="Arial"/>
          <w:b/>
          <w:bCs/>
          <w:i/>
          <w:sz w:val="22"/>
          <w:szCs w:val="22"/>
        </w:rPr>
        <w:t>β)</w:t>
      </w:r>
      <w:r>
        <w:rPr>
          <w:rFonts w:ascii="Bookman Old Style" w:hAnsi="Bookman Old Style" w:cs="Arial"/>
          <w:i/>
          <w:sz w:val="22"/>
          <w:szCs w:val="22"/>
        </w:rPr>
        <w:t xml:space="preserve"> αν δεν συνιστούν κίνητρο προς τον αποδέκτη της δωρεάς, χορηγίας ή παροχής σε είδος ΟΚΑΝΑ, για να </w:t>
      </w:r>
      <w:proofErr w:type="spellStart"/>
      <w:r>
        <w:rPr>
          <w:rFonts w:ascii="Bookman Old Style" w:hAnsi="Bookman Old Style" w:cs="Arial"/>
          <w:i/>
          <w:sz w:val="22"/>
          <w:szCs w:val="22"/>
        </w:rPr>
        <w:t>συνταγογραφήσει</w:t>
      </w:r>
      <w:proofErr w:type="spellEnd"/>
      <w:r>
        <w:rPr>
          <w:rFonts w:ascii="Bookman Old Style" w:hAnsi="Bookman Old Style" w:cs="Arial"/>
          <w:i/>
          <w:sz w:val="22"/>
          <w:szCs w:val="22"/>
        </w:rPr>
        <w:t xml:space="preserve"> ή προμηθευτεί συγκεκριμένα προϊόντα ή υπηρεσίες από συγκεκριμένη υπηρεσία.</w:t>
      </w:r>
    </w:p>
    <w:p w:rsidR="006E4FA3" w:rsidRDefault="006E4FA3" w:rsidP="006E4FA3">
      <w:pPr>
        <w:numPr>
          <w:ilvl w:val="0"/>
          <w:numId w:val="1"/>
        </w:numPr>
        <w:spacing w:line="360" w:lineRule="auto"/>
        <w:ind w:left="714" w:hanging="357"/>
        <w:contextualSpacing/>
        <w:jc w:val="both"/>
        <w:rPr>
          <w:rFonts w:ascii="Bookman Old Style" w:eastAsia="Calibri" w:hAnsi="Bookman Old Style" w:cs="Arial"/>
          <w:i/>
          <w:sz w:val="22"/>
          <w:szCs w:val="22"/>
          <w:lang w:eastAsia="en-US"/>
        </w:rPr>
      </w:pPr>
      <w:r>
        <w:rPr>
          <w:rFonts w:ascii="Bookman Old Style" w:eastAsia="Calibri" w:hAnsi="Bookman Old Style" w:cs="Arial"/>
          <w:i/>
          <w:sz w:val="22"/>
          <w:szCs w:val="22"/>
          <w:lang w:eastAsia="en-US"/>
        </w:rPr>
        <w:t xml:space="preserve">Σύμφωνα με την ισχύουσα νομοθεσία αλλά και με βάση το παρόν πλαίσιο απαγορεύονται: </w:t>
      </w:r>
      <w:r>
        <w:rPr>
          <w:rFonts w:ascii="Bookman Old Style" w:eastAsia="Calibri" w:hAnsi="Bookman Old Style" w:cs="Arial"/>
          <w:b/>
          <w:bCs/>
          <w:i/>
          <w:sz w:val="22"/>
          <w:szCs w:val="22"/>
          <w:lang w:eastAsia="en-US"/>
        </w:rPr>
        <w:t>α)</w:t>
      </w:r>
      <w:r>
        <w:rPr>
          <w:rFonts w:ascii="Bookman Old Style" w:eastAsia="Calibri" w:hAnsi="Bookman Old Style" w:cs="Arial"/>
          <w:i/>
          <w:sz w:val="22"/>
          <w:szCs w:val="22"/>
          <w:lang w:eastAsia="en-US"/>
        </w:rPr>
        <w:t xml:space="preserve"> η χορηγία οποιασδήποτε δράσης από εταιρείες προϊόντων καπνού και </w:t>
      </w:r>
      <w:r>
        <w:rPr>
          <w:rFonts w:ascii="Bookman Old Style" w:eastAsia="Calibri" w:hAnsi="Bookman Old Style" w:cs="Arial"/>
          <w:b/>
          <w:bCs/>
          <w:i/>
          <w:sz w:val="22"/>
          <w:szCs w:val="22"/>
          <w:lang w:eastAsia="en-US"/>
        </w:rPr>
        <w:t xml:space="preserve">β) </w:t>
      </w:r>
      <w:r>
        <w:rPr>
          <w:rFonts w:ascii="Bookman Old Style" w:eastAsia="Calibri" w:hAnsi="Bookman Old Style" w:cs="Arial"/>
          <w:i/>
          <w:sz w:val="22"/>
          <w:szCs w:val="22"/>
          <w:lang w:eastAsia="en-US"/>
        </w:rPr>
        <w:t>χορηγίες από εταιρείες παραγωγής και εμπορίας αλκοολούχων ποτών.</w:t>
      </w:r>
    </w:p>
    <w:p w:rsidR="006E4FA3" w:rsidRPr="00433BBA" w:rsidRDefault="006E4FA3" w:rsidP="006E4FA3">
      <w:pPr>
        <w:numPr>
          <w:ilvl w:val="0"/>
          <w:numId w:val="1"/>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360" w:lineRule="auto"/>
        <w:ind w:right="147"/>
        <w:contextualSpacing/>
        <w:jc w:val="both"/>
        <w:rPr>
          <w:rFonts w:ascii="Bookman Old Style" w:hAnsi="Bookman Old Style" w:cs="Arial"/>
          <w:i/>
          <w:color w:val="000000"/>
          <w:sz w:val="22"/>
          <w:szCs w:val="22"/>
        </w:rPr>
      </w:pPr>
      <w:r>
        <w:rPr>
          <w:rFonts w:ascii="Bookman Old Style" w:hAnsi="Bookman Old Style" w:cs="Arial"/>
          <w:i/>
          <w:color w:val="000000"/>
          <w:sz w:val="22"/>
          <w:szCs w:val="22"/>
        </w:rPr>
        <w:t xml:space="preserve">Όσον αφορά πρόσωπο που διοργανώνει ή/και διεξάγει ή/και εκμεταλλεύεται Παίγνια νόμιμα, κατόπιν άδειας που έχει εκδοθεί από την Ελληνική Δημοκρατία και σε κάθε περίπτωση ασκεί τη δραστηριότητα αυτή με βάση την κείμενη εθνική νομοθεσία, μπορεί να δίδει χορηγίες στον ΟΚΑΝΑ με τους περιορισμούς της απόφασης  </w:t>
      </w:r>
      <w:proofErr w:type="spellStart"/>
      <w:r>
        <w:rPr>
          <w:rFonts w:ascii="Bookman Old Style" w:hAnsi="Bookman Old Style" w:cs="Arial"/>
          <w:i/>
          <w:color w:val="000000"/>
          <w:sz w:val="22"/>
          <w:szCs w:val="22"/>
        </w:rPr>
        <w:t>Αριθμ</w:t>
      </w:r>
      <w:proofErr w:type="spellEnd"/>
      <w:r>
        <w:rPr>
          <w:rFonts w:ascii="Bookman Old Style" w:hAnsi="Bookman Old Style" w:cs="Arial"/>
          <w:i/>
          <w:color w:val="000000"/>
          <w:sz w:val="22"/>
          <w:szCs w:val="22"/>
        </w:rPr>
        <w:t xml:space="preserve">. </w:t>
      </w:r>
      <w:proofErr w:type="spellStart"/>
      <w:r>
        <w:rPr>
          <w:rFonts w:ascii="Bookman Old Style" w:hAnsi="Bookman Old Style" w:cs="Arial"/>
          <w:i/>
          <w:color w:val="000000"/>
          <w:sz w:val="22"/>
          <w:szCs w:val="22"/>
        </w:rPr>
        <w:t>απόφ</w:t>
      </w:r>
      <w:proofErr w:type="spellEnd"/>
      <w:r>
        <w:rPr>
          <w:rFonts w:ascii="Bookman Old Style" w:hAnsi="Bookman Old Style" w:cs="Arial"/>
          <w:i/>
          <w:color w:val="000000"/>
          <w:sz w:val="22"/>
          <w:szCs w:val="22"/>
        </w:rPr>
        <w:t xml:space="preserve">. 163/4Γ/9-7-2015 (ΦΕΚ Β' 1824/24/08/2015) «Ρύθμιση θεμάτων εμπορικής επικοινωνίας τυχερών παιγνίων» της  Επιτροπής Εποπτείας και Ελέγχου Παιγνίων, όπως αυτή εκάστοτε ισχύει». Συγκεκριμένα, ο </w:t>
      </w:r>
      <w:proofErr w:type="spellStart"/>
      <w:r>
        <w:rPr>
          <w:rFonts w:ascii="Bookman Old Style" w:hAnsi="Bookman Old Style" w:cs="Arial"/>
          <w:i/>
          <w:color w:val="000000"/>
          <w:sz w:val="22"/>
          <w:szCs w:val="22"/>
        </w:rPr>
        <w:t>Πάροχος</w:t>
      </w:r>
      <w:proofErr w:type="spellEnd"/>
      <w:r>
        <w:rPr>
          <w:rFonts w:ascii="Bookman Old Style" w:hAnsi="Bookman Old Style" w:cs="Arial"/>
          <w:i/>
          <w:color w:val="000000"/>
          <w:sz w:val="22"/>
          <w:szCs w:val="22"/>
        </w:rPr>
        <w:t xml:space="preserve"> μπορεί να προβαίνει σε Εμπορικές Ανακοινώσεις Χορηγιών που αφορούν αποκλειστικά και μόνο:  διοργανώσεις, γεγονότα, δραστηριότητες ή σκοπούς αθλητικού χαρακτήρα. Ο συγκεκριμένος </w:t>
      </w:r>
      <w:r>
        <w:rPr>
          <w:rFonts w:ascii="Bookman Old Style" w:hAnsi="Bookman Old Style" w:cs="Arial"/>
          <w:i/>
          <w:color w:val="000000"/>
          <w:sz w:val="22"/>
          <w:szCs w:val="22"/>
        </w:rPr>
        <w:lastRenderedPageBreak/>
        <w:t>περιορισμός δεν αφορά τις δράσεις που πραγματοποιούνται από τις συγκεκριμένες εταιρείες στο πλαίσιο της εταιρικής κοινωνικής ευθύνης.</w:t>
      </w:r>
    </w:p>
    <w:p w:rsidR="006E4FA3" w:rsidRDefault="006E4FA3" w:rsidP="006E4FA3">
      <w:pPr>
        <w:numPr>
          <w:ilvl w:val="0"/>
          <w:numId w:val="1"/>
        </w:numPr>
        <w:spacing w:line="360" w:lineRule="auto"/>
        <w:jc w:val="both"/>
        <w:rPr>
          <w:rFonts w:ascii="Bookman Old Style" w:hAnsi="Bookman Old Style" w:cs="Arial"/>
          <w:i/>
          <w:sz w:val="22"/>
          <w:szCs w:val="22"/>
        </w:rPr>
      </w:pPr>
      <w:r>
        <w:rPr>
          <w:rFonts w:ascii="Bookman Old Style" w:hAnsi="Bookman Old Style" w:cs="Arial"/>
          <w:i/>
          <w:sz w:val="22"/>
          <w:szCs w:val="22"/>
        </w:rPr>
        <w:t>Ο δωρητής/χορηγός δεν πρέπει να ενεργεί αντίθετα προς τους ιδρυτικούς σκοπούς του ΟΚΑΝΑ ή κατά παράβαση των κειμένων διατάξεων. Αρμοδιότητα δε προς λήψη της σχετικής απόφασης έχει η Διοίκηση του Οργανισμού.</w:t>
      </w:r>
    </w:p>
    <w:p w:rsidR="006E4FA3" w:rsidRDefault="006E4FA3" w:rsidP="006E4FA3">
      <w:pPr>
        <w:numPr>
          <w:ilvl w:val="0"/>
          <w:numId w:val="1"/>
        </w:numPr>
        <w:spacing w:line="360" w:lineRule="auto"/>
        <w:jc w:val="both"/>
        <w:rPr>
          <w:rFonts w:ascii="Bookman Old Style" w:hAnsi="Bookman Old Style" w:cs="Arial"/>
          <w:i/>
          <w:sz w:val="22"/>
          <w:szCs w:val="22"/>
        </w:rPr>
      </w:pPr>
      <w:r>
        <w:rPr>
          <w:rFonts w:ascii="Bookman Old Style" w:hAnsi="Bookman Old Style" w:cs="Arial"/>
          <w:i/>
          <w:sz w:val="22"/>
          <w:szCs w:val="22"/>
        </w:rPr>
        <w:t>Το Διοικητικό Συμβούλιο θα θέτει/θα εγκρίνει  τις προδιαγραφές των αγαθών ή υπηρεσιών που θα λαμβάνονται σε είδος στο πλαίσιο της παρούσας.</w:t>
      </w:r>
    </w:p>
    <w:p w:rsidR="006E4FA3" w:rsidRDefault="006E4FA3" w:rsidP="006E4FA3">
      <w:pPr>
        <w:numPr>
          <w:ilvl w:val="0"/>
          <w:numId w:val="1"/>
        </w:numPr>
        <w:spacing w:line="360" w:lineRule="auto"/>
        <w:jc w:val="both"/>
        <w:rPr>
          <w:rFonts w:ascii="Bookman Old Style" w:hAnsi="Bookman Old Style" w:cs="Arial"/>
          <w:i/>
          <w:sz w:val="22"/>
          <w:szCs w:val="22"/>
        </w:rPr>
      </w:pPr>
      <w:r>
        <w:rPr>
          <w:rFonts w:ascii="Bookman Old Style" w:hAnsi="Bookman Old Style" w:cs="Arial"/>
          <w:i/>
          <w:sz w:val="22"/>
          <w:szCs w:val="22"/>
        </w:rPr>
        <w:t>Οι δωρεές/χορηγίες μπορεί να σχετίζονται άμεσα με την παροχή υπηρεσιών υγείας, ιατρικών και εκπαιδευτικών αγαθών και υπηρεσιών, εξοπλισμού, αναλωσίμων, μέσων για την υλοποίηση συγκεκριμένων δράσεων και τροφίμων.</w:t>
      </w:r>
    </w:p>
    <w:p w:rsidR="006E4FA3" w:rsidRDefault="006E4FA3" w:rsidP="006E4FA3">
      <w:pPr>
        <w:numPr>
          <w:ilvl w:val="0"/>
          <w:numId w:val="1"/>
        </w:numPr>
        <w:spacing w:line="360" w:lineRule="auto"/>
        <w:contextualSpacing/>
        <w:jc w:val="both"/>
        <w:rPr>
          <w:rFonts w:ascii="Bookman Old Style" w:eastAsia="Calibri" w:hAnsi="Bookman Old Style" w:cs="Arial"/>
          <w:i/>
          <w:sz w:val="22"/>
          <w:szCs w:val="22"/>
          <w:lang w:eastAsia="en-US"/>
        </w:rPr>
      </w:pPr>
      <w:r>
        <w:rPr>
          <w:rFonts w:ascii="Bookman Old Style" w:eastAsia="Calibri" w:hAnsi="Bookman Old Style" w:cs="Arial"/>
          <w:i/>
          <w:sz w:val="22"/>
          <w:szCs w:val="22"/>
          <w:lang w:eastAsia="en-US"/>
        </w:rPr>
        <w:t xml:space="preserve">Λαμβανομένης υπόψη της ιατρικής φύσης μέρους των  υπηρεσιών που παρέχει ο Οργανισμός, σε περίπτωση αναζήτησης ή αποδοχής οποιασδήποτε παροχής από φαρμακευτική εταιρεία, ο ΟΚΑΝΑ οφείλει να λαμβάνει γνώση και να τηρεί τον ισχύοντα τη δεδομένη χρονική στιγμή Κώδικα Δεοντολογίας του Συνδέσμου Φαρμακευτικών Επιχειρήσεων Ελλάδας (ΣΦΕΕ) και τις σχετικές εγκυκλίους και διαδικασίες έγκρισης που προβλέπονται από τον Εθνικό </w:t>
      </w:r>
      <w:proofErr w:type="spellStart"/>
      <w:r>
        <w:rPr>
          <w:rFonts w:ascii="Bookman Old Style" w:eastAsia="Calibri" w:hAnsi="Bookman Old Style" w:cs="Arial"/>
          <w:i/>
          <w:sz w:val="22"/>
          <w:szCs w:val="22"/>
          <w:lang w:eastAsia="en-US"/>
        </w:rPr>
        <w:t>Οργανισµό</w:t>
      </w:r>
      <w:proofErr w:type="spellEnd"/>
      <w:r>
        <w:rPr>
          <w:rFonts w:ascii="Bookman Old Style" w:eastAsia="Calibri" w:hAnsi="Bookman Old Style" w:cs="Arial"/>
          <w:i/>
          <w:sz w:val="22"/>
          <w:szCs w:val="22"/>
          <w:lang w:eastAsia="en-US"/>
        </w:rPr>
        <w:t xml:space="preserve"> </w:t>
      </w:r>
      <w:proofErr w:type="spellStart"/>
      <w:r>
        <w:rPr>
          <w:rFonts w:ascii="Bookman Old Style" w:eastAsia="Calibri" w:hAnsi="Bookman Old Style" w:cs="Arial"/>
          <w:i/>
          <w:sz w:val="22"/>
          <w:szCs w:val="22"/>
          <w:lang w:eastAsia="en-US"/>
        </w:rPr>
        <w:t>Φαρµάκων</w:t>
      </w:r>
      <w:proofErr w:type="spellEnd"/>
      <w:r>
        <w:rPr>
          <w:rFonts w:ascii="Bookman Old Style" w:eastAsia="Calibri" w:hAnsi="Bookman Old Style" w:cs="Arial"/>
          <w:i/>
          <w:sz w:val="22"/>
          <w:szCs w:val="22"/>
          <w:lang w:eastAsia="en-US"/>
        </w:rPr>
        <w:t xml:space="preserve"> (ΕΟΦ). Το ίδιο ισχύει και για τους ιατρούς όλων των ειδικοτήτων που απασχολούνται στον ΟΚΑΝΑ, για τους οποίους εφαρμόζεται και ο Κώδικας Ιατρικής Δεοντολογίας.</w:t>
      </w:r>
    </w:p>
    <w:p w:rsidR="006E4FA3" w:rsidRDefault="006E4FA3" w:rsidP="006E4FA3">
      <w:pPr>
        <w:numPr>
          <w:ilvl w:val="0"/>
          <w:numId w:val="1"/>
        </w:numPr>
        <w:spacing w:line="360" w:lineRule="auto"/>
        <w:contextualSpacing/>
        <w:jc w:val="both"/>
        <w:rPr>
          <w:rFonts w:ascii="Bookman Old Style" w:eastAsia="Calibri" w:hAnsi="Bookman Old Style" w:cs="Arial"/>
          <w:i/>
          <w:sz w:val="22"/>
          <w:szCs w:val="22"/>
          <w:lang w:eastAsia="en-US"/>
        </w:rPr>
      </w:pPr>
      <w:r>
        <w:rPr>
          <w:rFonts w:ascii="Bookman Old Style" w:eastAsia="Calibri" w:hAnsi="Bookman Old Style" w:cs="Arial"/>
          <w:i/>
          <w:sz w:val="22"/>
          <w:szCs w:val="22"/>
          <w:lang w:eastAsia="en-US"/>
        </w:rPr>
        <w:t>Κάθε χορηγία οφείλει να προσδιορίζεται ως χορηγία και να αποτελεί το αντικείμενο συγκεκριμένης σύμβασης, όπου θα περιγράφονται με σαφήνεια οι όροι, οι προϋποθέσεις και τα προσδοκώμενα οφέλη για τους συμβαλλόμενους. Οι όροι και η υλοποίηση της χορηγίας οφείλουν να βασίζονται στην αρχή της καλής πίστης μεταξύ των συμβαλλομένων μερών.</w:t>
      </w:r>
    </w:p>
    <w:p w:rsidR="006E4FA3" w:rsidRDefault="006E4FA3" w:rsidP="006E4FA3">
      <w:pPr>
        <w:numPr>
          <w:ilvl w:val="0"/>
          <w:numId w:val="1"/>
        </w:numPr>
        <w:spacing w:line="360" w:lineRule="auto"/>
        <w:contextualSpacing/>
        <w:jc w:val="both"/>
        <w:rPr>
          <w:rFonts w:ascii="Bookman Old Style" w:eastAsia="Calibri" w:hAnsi="Bookman Old Style" w:cs="Arial"/>
          <w:i/>
          <w:sz w:val="22"/>
          <w:szCs w:val="22"/>
          <w:lang w:eastAsia="en-US"/>
        </w:rPr>
      </w:pPr>
      <w:r>
        <w:rPr>
          <w:rFonts w:ascii="Bookman Old Style" w:eastAsia="Calibri" w:hAnsi="Bookman Old Style" w:cs="Arial"/>
          <w:i/>
          <w:sz w:val="22"/>
          <w:szCs w:val="22"/>
          <w:lang w:eastAsia="en-US"/>
        </w:rPr>
        <w:t xml:space="preserve">Σε περίπτωση αναζήτησης ή αποδοχής πολλαπλών χορηγιών για τον ίδιο σκοπό, ο ΟΚΑΝΑ οφείλει να ενημερώσει οποιονδήποτε δυνητικό χορηγό ως προς τους λοιπούς χορηγούς που έχουν συμβληθεί με τη χορηγική σύμβαση. Οφείλει δε να μην αποδέχεται νέους χορηγούς, εάν δεν έχουν ενημερωθεί οι υφιστάμενοι χορηγοί και εάν δεν διασφαλίζεται η απουσία σύγκρουσης δικαιωμάτων ή/και υποχρεώσεων μεταξύ των χορηγών.  </w:t>
      </w:r>
    </w:p>
    <w:p w:rsidR="006E4FA3" w:rsidRDefault="006E4FA3" w:rsidP="006E4FA3">
      <w:pPr>
        <w:numPr>
          <w:ilvl w:val="0"/>
          <w:numId w:val="1"/>
        </w:numPr>
        <w:spacing w:line="360" w:lineRule="auto"/>
        <w:contextualSpacing/>
        <w:jc w:val="both"/>
        <w:rPr>
          <w:rFonts w:ascii="Bookman Old Style" w:eastAsia="Calibri" w:hAnsi="Bookman Old Style" w:cs="Arial"/>
          <w:i/>
          <w:sz w:val="22"/>
          <w:szCs w:val="22"/>
          <w:lang w:eastAsia="en-US"/>
        </w:rPr>
      </w:pPr>
      <w:r>
        <w:rPr>
          <w:rFonts w:ascii="Bookman Old Style" w:eastAsia="Calibri" w:hAnsi="Bookman Old Style" w:cs="Arial"/>
          <w:i/>
          <w:sz w:val="22"/>
          <w:szCs w:val="22"/>
          <w:lang w:eastAsia="en-US"/>
        </w:rPr>
        <w:t xml:space="preserve">Σε περίπτωση αποδοχής χορηγίας το αντάλλαγμα που δύναται να παρέχει ο ΟΚΑΝΑ είναι η με βάση τα οριζόμενα στις εν λόγω συμβατικές του </w:t>
      </w:r>
      <w:r>
        <w:rPr>
          <w:rFonts w:ascii="Bookman Old Style" w:eastAsia="Calibri" w:hAnsi="Bookman Old Style" w:cs="Arial"/>
          <w:i/>
          <w:sz w:val="22"/>
          <w:szCs w:val="22"/>
          <w:lang w:eastAsia="en-US"/>
        </w:rPr>
        <w:lastRenderedPageBreak/>
        <w:t xml:space="preserve">υποχρεώσεις δημόσια αναγνώριση της </w:t>
      </w:r>
      <w:proofErr w:type="spellStart"/>
      <w:r>
        <w:rPr>
          <w:rFonts w:ascii="Bookman Old Style" w:eastAsia="Calibri" w:hAnsi="Bookman Old Style" w:cs="Arial"/>
          <w:i/>
          <w:sz w:val="22"/>
          <w:szCs w:val="22"/>
          <w:lang w:eastAsia="en-US"/>
        </w:rPr>
        <w:t>ευποιίας</w:t>
      </w:r>
      <w:proofErr w:type="spellEnd"/>
      <w:r>
        <w:rPr>
          <w:rFonts w:ascii="Bookman Old Style" w:eastAsia="Calibri" w:hAnsi="Bookman Old Style" w:cs="Arial"/>
          <w:i/>
          <w:sz w:val="22"/>
          <w:szCs w:val="22"/>
          <w:lang w:eastAsia="en-US"/>
        </w:rPr>
        <w:t xml:space="preserve"> του χορηγού. Σε περίπτωση που η χορηγία προς τον ΟΚΑΝΑ είναι άνω των 100.000 ευρώ, δύναται να συμπεριληφθεί στη χορηγική σύμβαση η διοργάνωση εκδήλωσης από τον ΟΚΑΝΑ για την προβολή της επιχορηγούμενης δράσης.  </w:t>
      </w:r>
    </w:p>
    <w:p w:rsidR="006E4FA3" w:rsidRDefault="006E4FA3" w:rsidP="006E4FA3">
      <w:pPr>
        <w:numPr>
          <w:ilvl w:val="0"/>
          <w:numId w:val="1"/>
        </w:numPr>
        <w:spacing w:line="360" w:lineRule="auto"/>
        <w:contextualSpacing/>
        <w:jc w:val="both"/>
        <w:rPr>
          <w:rFonts w:ascii="Bookman Old Style" w:eastAsia="Calibri" w:hAnsi="Bookman Old Style" w:cs="Arial"/>
          <w:i/>
          <w:sz w:val="22"/>
          <w:szCs w:val="22"/>
          <w:lang w:eastAsia="en-US"/>
        </w:rPr>
      </w:pPr>
      <w:r>
        <w:rPr>
          <w:rFonts w:ascii="Bookman Old Style" w:eastAsia="Calibri" w:hAnsi="Bookman Old Style" w:cs="Arial"/>
          <w:i/>
          <w:sz w:val="22"/>
          <w:szCs w:val="22"/>
          <w:lang w:eastAsia="en-US"/>
        </w:rPr>
        <w:t>Ο ΟΚΑΝΑ οφείλει να διευκολύνει τον χορηγό ή δωρητή προκειμένου ο τελευταίος, εφόσον το επιθυμεί, να κάνει χρήση των ειδικών ευεργετικών διατάξεων σχετικά με τη χρηματοδότηση κοινωφελών σκοπών, που περιλαμβάνονται στο ελληνικό φορολογικό δίκαιο. Κατά συνέπεια, και προκειμένου να αξιοποιούνται τυχόν ευεργετικές διατάξεις φοροαπαλλαγής από την πλευρά του χορηγού ή δωρητή θα πρέπει τα χρηματικά ποσά των δωρεών και χορηγιών να κατατίθενται, όπως οι κείμενες διατάξεις ορίζουν, σε ειδικό λογαριασμό, που θα έχει ανοιχτεί από τον ΟΚΑΝΑ για αυτό το σκοπό, σε πιστωτικό ίδρυμα που λειτουργεί νόμιμα στην Ελλάδα.</w:t>
      </w:r>
    </w:p>
    <w:p w:rsidR="006E4FA3" w:rsidRPr="00433BBA" w:rsidRDefault="006E4FA3" w:rsidP="006E4FA3">
      <w:pPr>
        <w:numPr>
          <w:ilvl w:val="0"/>
          <w:numId w:val="1"/>
        </w:numPr>
        <w:spacing w:line="360" w:lineRule="auto"/>
        <w:contextualSpacing/>
        <w:jc w:val="both"/>
        <w:rPr>
          <w:rFonts w:ascii="Bookman Old Style" w:eastAsia="Calibri" w:hAnsi="Bookman Old Style" w:cs="Arial"/>
          <w:b/>
          <w:bCs/>
          <w:i/>
          <w:sz w:val="22"/>
          <w:szCs w:val="22"/>
          <w:lang w:eastAsia="en-US"/>
        </w:rPr>
      </w:pPr>
      <w:r>
        <w:rPr>
          <w:rFonts w:ascii="Bookman Old Style" w:eastAsia="Calibri" w:hAnsi="Bookman Old Style" w:cs="Arial"/>
          <w:i/>
          <w:sz w:val="22"/>
          <w:szCs w:val="22"/>
          <w:lang w:eastAsia="en-US"/>
        </w:rPr>
        <w:t>Ο ΟΚΑΝΑ ως αποδέκτης χορηγιών οφείλει να λαμβάνει μέριμνα έναντι ενδεχομένων κοινωνικών επιπτώσεων των εν λόγω χορηγιών κατά τον προγραμματισμό, τη διοργάνωση και την υλοποίησή τους.</w:t>
      </w:r>
    </w:p>
    <w:p w:rsidR="006E4FA3" w:rsidRDefault="006E4FA3" w:rsidP="006E4FA3">
      <w:pPr>
        <w:numPr>
          <w:ilvl w:val="0"/>
          <w:numId w:val="1"/>
        </w:numPr>
        <w:spacing w:after="200" w:line="360" w:lineRule="auto"/>
        <w:jc w:val="both"/>
        <w:rPr>
          <w:rFonts w:ascii="Bookman Old Style" w:hAnsi="Bookman Old Style" w:cs="Arial"/>
          <w:i/>
          <w:sz w:val="22"/>
          <w:szCs w:val="22"/>
        </w:rPr>
      </w:pPr>
      <w:r>
        <w:rPr>
          <w:rFonts w:ascii="Bookman Old Style" w:hAnsi="Bookman Old Style" w:cs="Arial"/>
          <w:bCs/>
          <w:i/>
          <w:color w:val="000000"/>
          <w:sz w:val="22"/>
          <w:szCs w:val="22"/>
          <w:u w:val="single"/>
        </w:rPr>
        <w:t>Διάκριση:</w:t>
      </w:r>
      <w:r>
        <w:rPr>
          <w:rFonts w:ascii="Bookman Old Style" w:hAnsi="Bookman Old Style" w:cs="Arial"/>
          <w:i/>
          <w:color w:val="000000"/>
          <w:sz w:val="22"/>
          <w:szCs w:val="22"/>
        </w:rPr>
        <w:t xml:space="preserve"> Τα προγράμματα χορηγίας δεν συνδέονται ή/ και συσχετίζονται ή/και επικαλύπτονται από τις λοιπές Εμπορικές Ανακοινώσεις/προγράμματα που αφορούν απλές προωθητικές ενέργειες (διαφήμιση) ή προγράμματα στο πλαίσιο Εταιρικής Κοινωνικής Ευθύνης, τα οποία  πραγματοποιούνται οικειοθελώς και τα οποία έχουν ως περιεχόμενο αποκλειστικά και μόνο την εκάστοτε συγκεκριμένη δράση.</w:t>
      </w:r>
    </w:p>
    <w:p w:rsidR="00A81760" w:rsidRDefault="00351C1E"/>
    <w:sectPr w:rsidR="00A81760" w:rsidSect="00247FF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
    <w:panose1 w:val="020B0604020202020204"/>
    <w:charset w:val="A1"/>
    <w:family w:val="swiss"/>
    <w:pitch w:val="variable"/>
    <w:sig w:usb0="E0002AFF" w:usb1="C0007843"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D50BED"/>
    <w:multiLevelType w:val="hybridMultilevel"/>
    <w:tmpl w:val="659C6938"/>
    <w:lvl w:ilvl="0" w:tplc="17767B2E">
      <w:start w:val="1"/>
      <w:numFmt w:val="decimal"/>
      <w:lvlText w:val="%1)"/>
      <w:lvlJc w:val="left"/>
      <w:pPr>
        <w:ind w:left="720" w:hanging="360"/>
      </w:pPr>
      <w:rPr>
        <w:b w:val="0"/>
        <w:bCs w:val="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6E4FA3"/>
    <w:rsid w:val="00247FF7"/>
    <w:rsid w:val="00351C1E"/>
    <w:rsid w:val="006E4FA3"/>
    <w:rsid w:val="008436FE"/>
    <w:rsid w:val="00CE1ECF"/>
    <w:rsid w:val="00E33660"/>
  </w:rsids>
  <m:mathPr>
    <m:mathFont m:val="Cambria Math"/>
    <m:brkBin m:val="before"/>
    <m:brkBinSub m:val="--"/>
    <m:smallFrac m:val="off"/>
    <m:dispDef/>
    <m:lMargin m:val="0"/>
    <m:rMargin m:val="0"/>
    <m:defJc m:val="centerGroup"/>
    <m:wrapIndent m:val="1440"/>
    <m:intLim m:val="subSup"/>
    <m:naryLim m:val="undOvr"/>
  </m:mathPr>
  <w:themeFontLang w:val="el-GR" w:bidi="km-K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FA3"/>
    <w:pPr>
      <w:spacing w:after="0" w:line="240" w:lineRule="auto"/>
    </w:pPr>
    <w:rPr>
      <w:rFonts w:ascii="Arial" w:eastAsia="Times New Roman" w:hAnsi="Arial" w:cs="Times New Roman"/>
      <w:sz w:val="18"/>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890</Words>
  <Characters>4808</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lplagianak</dc:creator>
  <cp:lastModifiedBy>lplagianak</cp:lastModifiedBy>
  <cp:revision>2</cp:revision>
  <dcterms:created xsi:type="dcterms:W3CDTF">2016-02-22T09:22:00Z</dcterms:created>
  <dcterms:modified xsi:type="dcterms:W3CDTF">2016-02-22T09:46:00Z</dcterms:modified>
</cp:coreProperties>
</file>